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FF76B" w14:textId="6C0EB77C" w:rsidR="005C7128" w:rsidRDefault="005C7128" w:rsidP="005C7128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7128">
        <w:rPr>
          <w:noProof/>
        </w:rPr>
        <w:drawing>
          <wp:inline distT="0" distB="0" distL="0" distR="0" wp14:anchorId="432726A0" wp14:editId="25FDA53D">
            <wp:extent cx="661869" cy="10382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33" cy="108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016B" w14:textId="77777777" w:rsidR="005C7128" w:rsidRDefault="005C7128" w:rsidP="00BD04E2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F18D51" w14:textId="67432E57" w:rsidR="00B40577" w:rsidRPr="00B40577" w:rsidRDefault="005A42C7" w:rsidP="00B40577">
      <w:pPr>
        <w:spacing w:after="0" w:line="240" w:lineRule="auto"/>
        <w:ind w:left="-630" w:right="-450"/>
        <w:jc w:val="center"/>
        <w:rPr>
          <w:rFonts w:ascii="Arial" w:hAnsi="Arial" w:cs="Arial"/>
          <w:b/>
          <w:bCs/>
          <w:sz w:val="28"/>
          <w:szCs w:val="28"/>
        </w:rPr>
      </w:pPr>
      <w:r w:rsidRPr="00B40577">
        <w:rPr>
          <w:rFonts w:ascii="Arial" w:hAnsi="Arial" w:cs="Arial"/>
          <w:b/>
          <w:bCs/>
          <w:sz w:val="28"/>
          <w:szCs w:val="28"/>
        </w:rPr>
        <w:t xml:space="preserve">IAS </w:t>
      </w:r>
      <w:r w:rsidR="00467773" w:rsidRPr="00B40577">
        <w:rPr>
          <w:rFonts w:ascii="Arial" w:hAnsi="Arial" w:cs="Arial"/>
          <w:b/>
          <w:bCs/>
          <w:sz w:val="28"/>
          <w:szCs w:val="28"/>
        </w:rPr>
        <w:t>POLICY GUIDE</w:t>
      </w:r>
      <w:r w:rsidR="006362C9" w:rsidRPr="00B40577">
        <w:rPr>
          <w:rFonts w:ascii="Arial" w:hAnsi="Arial" w:cs="Arial"/>
          <w:b/>
          <w:bCs/>
          <w:sz w:val="28"/>
          <w:szCs w:val="28"/>
        </w:rPr>
        <w:t xml:space="preserve"> </w:t>
      </w:r>
      <w:r w:rsidR="00467773" w:rsidRPr="00B40577">
        <w:rPr>
          <w:rFonts w:ascii="Arial" w:hAnsi="Arial" w:cs="Arial"/>
          <w:b/>
          <w:bCs/>
          <w:sz w:val="28"/>
          <w:szCs w:val="28"/>
        </w:rPr>
        <w:t xml:space="preserve">FOR DEFINING SCOPES OF ACCREDITATION RELATED </w:t>
      </w:r>
      <w:r w:rsidR="006362C9" w:rsidRPr="00B40577">
        <w:rPr>
          <w:rFonts w:ascii="Arial" w:hAnsi="Arial" w:cs="Arial"/>
          <w:b/>
          <w:bCs/>
          <w:sz w:val="28"/>
          <w:szCs w:val="28"/>
        </w:rPr>
        <w:t>TO PRODUCT</w:t>
      </w:r>
      <w:r w:rsidR="004759D5" w:rsidRPr="00B40577">
        <w:rPr>
          <w:rFonts w:ascii="Arial" w:hAnsi="Arial" w:cs="Arial"/>
          <w:b/>
          <w:bCs/>
          <w:sz w:val="28"/>
          <w:szCs w:val="28"/>
        </w:rPr>
        <w:t xml:space="preserve"> STANDARDS</w:t>
      </w:r>
      <w:r w:rsidR="00B40577" w:rsidRPr="00B40577">
        <w:rPr>
          <w:rFonts w:ascii="Arial" w:hAnsi="Arial" w:cs="Arial"/>
          <w:b/>
          <w:bCs/>
          <w:sz w:val="28"/>
          <w:szCs w:val="28"/>
        </w:rPr>
        <w:t>:</w:t>
      </w:r>
    </w:p>
    <w:p w14:paraId="3B7ACCA8" w14:textId="10EC9C04" w:rsidR="00B40577" w:rsidRPr="00C84DF8" w:rsidRDefault="00B40577" w:rsidP="00B40577">
      <w:pPr>
        <w:spacing w:after="0" w:line="240" w:lineRule="auto"/>
        <w:ind w:left="-630" w:right="-450"/>
        <w:jc w:val="center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PS 1-19 (STRUCTURAL PLYWOOD), </w:t>
      </w:r>
    </w:p>
    <w:p w14:paraId="58E9784B" w14:textId="787FF9FD" w:rsidR="00B40577" w:rsidRPr="00C84DF8" w:rsidRDefault="00B40577" w:rsidP="00B40577">
      <w:pPr>
        <w:spacing w:after="0" w:line="240" w:lineRule="auto"/>
        <w:ind w:left="-630" w:right="-450"/>
        <w:jc w:val="center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PS 2-18 (PERFORMANCE STANDARD FOR WOOD STRUCTURAL PANELS) </w:t>
      </w:r>
    </w:p>
    <w:p w14:paraId="4D5C8A35" w14:textId="68037FA5" w:rsidR="006362C9" w:rsidRPr="00C84DF8" w:rsidRDefault="00B40577" w:rsidP="00B40577">
      <w:pPr>
        <w:spacing w:after="0" w:line="240" w:lineRule="auto"/>
        <w:ind w:left="-630" w:right="-450"/>
        <w:jc w:val="center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AND </w:t>
      </w:r>
    </w:p>
    <w:p w14:paraId="0E162534" w14:textId="280D0440" w:rsidR="00000605" w:rsidRPr="00C84DF8" w:rsidRDefault="00B40577" w:rsidP="00B40577">
      <w:pPr>
        <w:spacing w:after="0" w:line="240" w:lineRule="auto"/>
        <w:ind w:left="-630" w:right="-450"/>
        <w:jc w:val="center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C84DF8">
        <w:rPr>
          <w:rFonts w:ascii="Arial" w:hAnsi="Arial" w:cs="Arial"/>
          <w:b/>
          <w:color w:val="70AD47" w:themeColor="accent6"/>
          <w:sz w:val="28"/>
          <w:szCs w:val="28"/>
        </w:rPr>
        <w:t xml:space="preserve">APPLICABLE </w:t>
      </w:r>
      <w:r w:rsidR="004759D5"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EUROPEAN </w:t>
      </w:r>
      <w:r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UNION (EU) </w:t>
      </w:r>
      <w:r w:rsidR="004759D5"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>DIRECTIVES/REGULATION</w:t>
      </w:r>
      <w:r w:rsidRPr="00C84DF8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S </w:t>
      </w:r>
    </w:p>
    <w:p w14:paraId="0C50F173" w14:textId="184B88FF" w:rsidR="005A42C7" w:rsidRPr="00BD04E2" w:rsidRDefault="005A42C7" w:rsidP="00BD04E2">
      <w:pPr>
        <w:spacing w:after="120" w:line="276" w:lineRule="auto"/>
        <w:rPr>
          <w:rFonts w:ascii="Arial" w:hAnsi="Arial" w:cs="Arial"/>
        </w:rPr>
      </w:pPr>
    </w:p>
    <w:p w14:paraId="24D350CE" w14:textId="58FB1334" w:rsidR="005A42C7" w:rsidRPr="00BD04E2" w:rsidRDefault="005C7128" w:rsidP="00BD04E2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1.0 </w:t>
      </w:r>
      <w:r w:rsidR="004B3D0D" w:rsidRPr="00BD04E2">
        <w:rPr>
          <w:rFonts w:ascii="Arial" w:hAnsi="Arial" w:cs="Arial"/>
          <w:b/>
          <w:bCs/>
        </w:rPr>
        <w:t>Introduction</w:t>
      </w:r>
    </w:p>
    <w:p w14:paraId="284D9271" w14:textId="2BB6C4F5" w:rsidR="009F7456" w:rsidRPr="00BD04E2" w:rsidRDefault="004B3D0D" w:rsidP="00BD04E2">
      <w:pPr>
        <w:spacing w:after="120" w:line="276" w:lineRule="auto"/>
        <w:jc w:val="both"/>
        <w:rPr>
          <w:rFonts w:ascii="Arial" w:hAnsi="Arial" w:cs="Arial"/>
        </w:rPr>
      </w:pPr>
      <w:r w:rsidRPr="00BD04E2">
        <w:rPr>
          <w:rFonts w:ascii="Arial" w:hAnsi="Arial" w:cs="Arial"/>
        </w:rPr>
        <w:t xml:space="preserve">When an organization </w:t>
      </w:r>
      <w:r w:rsidR="004759D5">
        <w:rPr>
          <w:rFonts w:ascii="Arial" w:hAnsi="Arial" w:cs="Arial"/>
        </w:rPr>
        <w:t>seeks</w:t>
      </w:r>
      <w:r w:rsidR="00D0309B" w:rsidRPr="00BD04E2">
        <w:rPr>
          <w:rFonts w:ascii="Arial" w:hAnsi="Arial" w:cs="Arial"/>
        </w:rPr>
        <w:t xml:space="preserve"> accredit</w:t>
      </w:r>
      <w:r w:rsidR="004759D5">
        <w:rPr>
          <w:rFonts w:ascii="Arial" w:hAnsi="Arial" w:cs="Arial"/>
        </w:rPr>
        <w:t>ation</w:t>
      </w:r>
      <w:r w:rsidR="00D0309B" w:rsidRPr="00BD04E2">
        <w:rPr>
          <w:rFonts w:ascii="Arial" w:hAnsi="Arial" w:cs="Arial"/>
        </w:rPr>
        <w:t xml:space="preserve"> to a</w:t>
      </w:r>
      <w:r w:rsidR="000945C3" w:rsidRPr="00BD04E2">
        <w:rPr>
          <w:rFonts w:ascii="Arial" w:hAnsi="Arial" w:cs="Arial"/>
        </w:rPr>
        <w:t xml:space="preserve">n industry </w:t>
      </w:r>
      <w:r w:rsidR="00CE31A4" w:rsidRPr="00BD04E2">
        <w:rPr>
          <w:rFonts w:ascii="Arial" w:hAnsi="Arial" w:cs="Arial"/>
        </w:rPr>
        <w:t xml:space="preserve">or regulatory </w:t>
      </w:r>
      <w:r w:rsidRPr="00BD04E2">
        <w:rPr>
          <w:rFonts w:ascii="Arial" w:hAnsi="Arial" w:cs="Arial"/>
        </w:rPr>
        <w:t xml:space="preserve">standard </w:t>
      </w:r>
      <w:r w:rsidR="00D0309B" w:rsidRPr="00BD04E2">
        <w:rPr>
          <w:rFonts w:ascii="Arial" w:hAnsi="Arial" w:cs="Arial"/>
        </w:rPr>
        <w:t>whose</w:t>
      </w:r>
      <w:r w:rsidRPr="00BD04E2">
        <w:rPr>
          <w:rFonts w:ascii="Arial" w:hAnsi="Arial" w:cs="Arial"/>
        </w:rPr>
        <w:t xml:space="preserve"> requirements </w:t>
      </w:r>
      <w:r w:rsidR="00D0309B" w:rsidRPr="00BD04E2">
        <w:rPr>
          <w:rFonts w:ascii="Arial" w:hAnsi="Arial" w:cs="Arial"/>
        </w:rPr>
        <w:t xml:space="preserve">fall under the purview of </w:t>
      </w:r>
      <w:r w:rsidRPr="00BD04E2">
        <w:rPr>
          <w:rFonts w:ascii="Arial" w:hAnsi="Arial" w:cs="Arial"/>
        </w:rPr>
        <w:t>multiple accreditation programs</w:t>
      </w:r>
      <w:r w:rsidR="00D0309B" w:rsidRPr="00BD04E2">
        <w:rPr>
          <w:rFonts w:ascii="Arial" w:hAnsi="Arial" w:cs="Arial"/>
        </w:rPr>
        <w:t xml:space="preserve">, </w:t>
      </w:r>
      <w:r w:rsidR="004759D5">
        <w:rPr>
          <w:rFonts w:ascii="Arial" w:hAnsi="Arial" w:cs="Arial"/>
        </w:rPr>
        <w:t xml:space="preserve">due </w:t>
      </w:r>
      <w:r w:rsidR="00574542" w:rsidRPr="00BD04E2">
        <w:rPr>
          <w:rFonts w:ascii="Arial" w:hAnsi="Arial" w:cs="Arial"/>
        </w:rPr>
        <w:t xml:space="preserve">care must be </w:t>
      </w:r>
      <w:r w:rsidR="004759D5">
        <w:rPr>
          <w:rFonts w:ascii="Arial" w:hAnsi="Arial" w:cs="Arial"/>
        </w:rPr>
        <w:t>under</w:t>
      </w:r>
      <w:r w:rsidR="00574542" w:rsidRPr="00BD04E2">
        <w:rPr>
          <w:rFonts w:ascii="Arial" w:hAnsi="Arial" w:cs="Arial"/>
        </w:rPr>
        <w:t xml:space="preserve">taken to ensure that the </w:t>
      </w:r>
      <w:r w:rsidR="001C2D7B" w:rsidRPr="00BD04E2">
        <w:rPr>
          <w:rFonts w:ascii="Arial" w:hAnsi="Arial" w:cs="Arial"/>
        </w:rPr>
        <w:t xml:space="preserve">published </w:t>
      </w:r>
      <w:r w:rsidR="00574542" w:rsidRPr="00BD04E2">
        <w:rPr>
          <w:rFonts w:ascii="Arial" w:hAnsi="Arial" w:cs="Arial"/>
        </w:rPr>
        <w:t xml:space="preserve">scope of accreditation is unambiguous and does not imply competence in areas that are not covered by the accreditation.  </w:t>
      </w:r>
    </w:p>
    <w:p w14:paraId="78CC2D24" w14:textId="737FBEA7" w:rsidR="00D235B3" w:rsidRPr="00BD04E2" w:rsidRDefault="00D235B3" w:rsidP="00BD04E2">
      <w:pPr>
        <w:spacing w:after="120" w:line="276" w:lineRule="auto"/>
        <w:jc w:val="both"/>
        <w:rPr>
          <w:rFonts w:ascii="Arial" w:hAnsi="Arial" w:cs="Arial"/>
        </w:rPr>
      </w:pPr>
      <w:r w:rsidRPr="00BD04E2">
        <w:rPr>
          <w:rFonts w:ascii="Arial" w:hAnsi="Arial" w:cs="Arial"/>
        </w:rPr>
        <w:t xml:space="preserve">There are </w:t>
      </w:r>
      <w:r w:rsidRPr="00645851">
        <w:rPr>
          <w:rFonts w:ascii="Arial" w:hAnsi="Arial" w:cs="Arial"/>
        </w:rPr>
        <w:t>cases</w:t>
      </w:r>
      <w:r w:rsidR="00645851">
        <w:rPr>
          <w:rFonts w:ascii="Arial" w:hAnsi="Arial" w:cs="Arial"/>
        </w:rPr>
        <w:t>,</w:t>
      </w:r>
      <w:r w:rsidRPr="00645851">
        <w:rPr>
          <w:rFonts w:ascii="Arial" w:hAnsi="Arial" w:cs="Arial"/>
        </w:rPr>
        <w:t xml:space="preserve"> </w:t>
      </w:r>
      <w:r w:rsidR="00A87432" w:rsidRPr="00645851">
        <w:rPr>
          <w:rFonts w:ascii="Arial" w:hAnsi="Arial" w:cs="Arial"/>
        </w:rPr>
        <w:t xml:space="preserve">where </w:t>
      </w:r>
      <w:r w:rsidRPr="00645851">
        <w:rPr>
          <w:rFonts w:ascii="Arial" w:hAnsi="Arial" w:cs="Arial"/>
        </w:rPr>
        <w:t xml:space="preserve">the requested scope of accreditation </w:t>
      </w:r>
      <w:r w:rsidR="00A87432" w:rsidRPr="00645851">
        <w:rPr>
          <w:rFonts w:ascii="Arial" w:hAnsi="Arial" w:cs="Arial"/>
        </w:rPr>
        <w:t xml:space="preserve">includes </w:t>
      </w:r>
      <w:r w:rsidRPr="00645851">
        <w:rPr>
          <w:rFonts w:ascii="Arial" w:hAnsi="Arial" w:cs="Arial"/>
        </w:rPr>
        <w:t>standards</w:t>
      </w:r>
      <w:r w:rsidRPr="00BD04E2">
        <w:rPr>
          <w:rFonts w:ascii="Arial" w:hAnsi="Arial" w:cs="Arial"/>
        </w:rPr>
        <w:t xml:space="preserve"> or regulatory documents with complex </w:t>
      </w:r>
      <w:r w:rsidR="00640A12">
        <w:rPr>
          <w:rFonts w:ascii="Arial" w:hAnsi="Arial" w:cs="Arial"/>
        </w:rPr>
        <w:t>contents</w:t>
      </w:r>
      <w:r w:rsidR="004759D5">
        <w:rPr>
          <w:rFonts w:ascii="Arial" w:hAnsi="Arial" w:cs="Arial"/>
        </w:rPr>
        <w:t xml:space="preserve"> (</w:t>
      </w:r>
      <w:r w:rsidR="003911AD">
        <w:rPr>
          <w:rFonts w:ascii="Arial" w:hAnsi="Arial" w:cs="Arial"/>
        </w:rPr>
        <w:t xml:space="preserve">refer to Appendix 1, </w:t>
      </w:r>
      <w:r w:rsidR="002D1304">
        <w:rPr>
          <w:rFonts w:ascii="Arial" w:hAnsi="Arial" w:cs="Arial"/>
        </w:rPr>
        <w:t>2 and</w:t>
      </w:r>
      <w:r w:rsidR="003911AD">
        <w:rPr>
          <w:rFonts w:ascii="Arial" w:hAnsi="Arial" w:cs="Arial"/>
        </w:rPr>
        <w:t xml:space="preserve"> 3 for details)</w:t>
      </w:r>
      <w:r w:rsidR="00640A12">
        <w:rPr>
          <w:rFonts w:ascii="Arial" w:hAnsi="Arial" w:cs="Arial"/>
        </w:rPr>
        <w:t>. In such cases</w:t>
      </w:r>
      <w:r w:rsidR="00645851">
        <w:rPr>
          <w:rFonts w:ascii="Arial" w:hAnsi="Arial" w:cs="Arial"/>
        </w:rPr>
        <w:t>,</w:t>
      </w:r>
      <w:r w:rsidR="00640A12">
        <w:rPr>
          <w:rFonts w:ascii="Arial" w:hAnsi="Arial" w:cs="Arial"/>
        </w:rPr>
        <w:t xml:space="preserve"> the </w:t>
      </w:r>
      <w:r w:rsidRPr="00BD04E2">
        <w:rPr>
          <w:rFonts w:ascii="Arial" w:hAnsi="Arial" w:cs="Arial"/>
        </w:rPr>
        <w:t>scope</w:t>
      </w:r>
      <w:r w:rsidR="00640A12">
        <w:rPr>
          <w:rFonts w:ascii="Arial" w:hAnsi="Arial" w:cs="Arial"/>
        </w:rPr>
        <w:t xml:space="preserve"> of accreditation</w:t>
      </w:r>
      <w:r w:rsidRPr="00BD04E2">
        <w:rPr>
          <w:rFonts w:ascii="Arial" w:hAnsi="Arial" w:cs="Arial"/>
        </w:rPr>
        <w:t xml:space="preserve"> </w:t>
      </w:r>
      <w:r w:rsidR="00640A12">
        <w:rPr>
          <w:rFonts w:ascii="Arial" w:hAnsi="Arial" w:cs="Arial"/>
        </w:rPr>
        <w:t>could be classified under</w:t>
      </w:r>
      <w:r w:rsidRPr="00BD04E2">
        <w:rPr>
          <w:rFonts w:ascii="Arial" w:hAnsi="Arial" w:cs="Arial"/>
        </w:rPr>
        <w:t xml:space="preserve"> more than one accreditation standard. </w:t>
      </w:r>
    </w:p>
    <w:p w14:paraId="45B89ABB" w14:textId="1668E445" w:rsidR="00050949" w:rsidRPr="00B40577" w:rsidRDefault="004759D5" w:rsidP="00B40577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</w:t>
      </w:r>
      <w:r w:rsidR="00CE7B6A">
        <w:rPr>
          <w:rFonts w:ascii="Arial" w:hAnsi="Arial" w:cs="Arial"/>
        </w:rPr>
        <w:t>such variations are understood by IAS accredited organizations, t</w:t>
      </w:r>
      <w:r w:rsidR="0071405C" w:rsidRPr="00BD04E2">
        <w:rPr>
          <w:rFonts w:ascii="Arial" w:hAnsi="Arial" w:cs="Arial"/>
        </w:rPr>
        <w:t xml:space="preserve">his guidance document is applicable to </w:t>
      </w:r>
      <w:r w:rsidR="00556964" w:rsidRPr="00BD04E2">
        <w:rPr>
          <w:rFonts w:ascii="Arial" w:hAnsi="Arial" w:cs="Arial"/>
        </w:rPr>
        <w:t xml:space="preserve">standards </w:t>
      </w:r>
      <w:r w:rsidR="000F09D5" w:rsidRPr="00BD04E2">
        <w:rPr>
          <w:rFonts w:ascii="Arial" w:hAnsi="Arial" w:cs="Arial"/>
        </w:rPr>
        <w:t xml:space="preserve">like </w:t>
      </w:r>
      <w:r w:rsidR="00556964" w:rsidRPr="00BD04E2">
        <w:rPr>
          <w:rFonts w:ascii="Arial" w:hAnsi="Arial" w:cs="Arial"/>
        </w:rPr>
        <w:t xml:space="preserve">PS 1-19 </w:t>
      </w:r>
      <w:r w:rsidR="00E82B03" w:rsidRPr="00BD04E2">
        <w:rPr>
          <w:rFonts w:ascii="Arial" w:hAnsi="Arial" w:cs="Arial"/>
        </w:rPr>
        <w:t xml:space="preserve">for Structural Plywood </w:t>
      </w:r>
      <w:r w:rsidR="00556964" w:rsidRPr="00BD04E2">
        <w:rPr>
          <w:rFonts w:ascii="Arial" w:hAnsi="Arial" w:cs="Arial"/>
        </w:rPr>
        <w:t xml:space="preserve">and PS 2-18 </w:t>
      </w:r>
      <w:r w:rsidR="00E82B03" w:rsidRPr="00BD04E2">
        <w:rPr>
          <w:rFonts w:ascii="Arial" w:hAnsi="Arial" w:cs="Arial"/>
        </w:rPr>
        <w:t>for Wood Structural Panels</w:t>
      </w:r>
      <w:r w:rsidR="005D34DC" w:rsidRPr="00BD04E2">
        <w:rPr>
          <w:rFonts w:ascii="Arial" w:hAnsi="Arial" w:cs="Arial"/>
        </w:rPr>
        <w:t xml:space="preserve"> and</w:t>
      </w:r>
      <w:r w:rsidR="000F09D5" w:rsidRPr="00BD04E2">
        <w:rPr>
          <w:rFonts w:ascii="Arial" w:hAnsi="Arial" w:cs="Arial"/>
        </w:rPr>
        <w:t xml:space="preserve"> </w:t>
      </w:r>
      <w:r w:rsidR="00CE7B6A">
        <w:rPr>
          <w:rFonts w:ascii="Arial" w:hAnsi="Arial" w:cs="Arial"/>
        </w:rPr>
        <w:t xml:space="preserve">for compliance </w:t>
      </w:r>
      <w:r w:rsidR="000F09D5" w:rsidRPr="00BD04E2">
        <w:rPr>
          <w:rFonts w:ascii="Arial" w:hAnsi="Arial" w:cs="Arial"/>
        </w:rPr>
        <w:t>to</w:t>
      </w:r>
      <w:r w:rsidR="005D34DC" w:rsidRPr="00BD04E2">
        <w:rPr>
          <w:rFonts w:ascii="Arial" w:hAnsi="Arial" w:cs="Arial"/>
        </w:rPr>
        <w:t xml:space="preserve"> European Union (EU)</w:t>
      </w:r>
      <w:r w:rsidR="00407A83" w:rsidRPr="00BD04E2">
        <w:rPr>
          <w:rFonts w:ascii="Arial" w:hAnsi="Arial" w:cs="Arial"/>
        </w:rPr>
        <w:t xml:space="preserve"> regulations</w:t>
      </w:r>
      <w:r w:rsidR="00E82B03" w:rsidRPr="00BD04E2">
        <w:rPr>
          <w:rFonts w:ascii="Arial" w:hAnsi="Arial" w:cs="Arial"/>
        </w:rPr>
        <w:t xml:space="preserve"> </w:t>
      </w:r>
      <w:r w:rsidR="0071405C" w:rsidRPr="00BD04E2">
        <w:rPr>
          <w:rFonts w:ascii="Arial" w:hAnsi="Arial" w:cs="Arial"/>
        </w:rPr>
        <w:t>related to conformity assessment</w:t>
      </w:r>
      <w:r w:rsidR="00556964" w:rsidRPr="00BD04E2">
        <w:rPr>
          <w:rFonts w:ascii="Arial" w:hAnsi="Arial" w:cs="Arial"/>
        </w:rPr>
        <w:t xml:space="preserve">.  </w:t>
      </w:r>
      <w:r w:rsidR="000F09D5" w:rsidRPr="00BD04E2">
        <w:rPr>
          <w:rFonts w:ascii="Arial" w:hAnsi="Arial" w:cs="Arial"/>
        </w:rPr>
        <w:t>Th</w:t>
      </w:r>
      <w:r w:rsidR="00A54F9F" w:rsidRPr="00BD04E2">
        <w:rPr>
          <w:rFonts w:ascii="Arial" w:hAnsi="Arial" w:cs="Arial"/>
        </w:rPr>
        <w:t>e</w:t>
      </w:r>
      <w:r w:rsidR="000F09D5" w:rsidRPr="00BD04E2">
        <w:rPr>
          <w:rFonts w:ascii="Arial" w:hAnsi="Arial" w:cs="Arial"/>
        </w:rPr>
        <w:t xml:space="preserve">se documents </w:t>
      </w:r>
      <w:r w:rsidR="00A73D72" w:rsidRPr="00BD04E2">
        <w:rPr>
          <w:rFonts w:ascii="Arial" w:hAnsi="Arial" w:cs="Arial"/>
        </w:rPr>
        <w:t xml:space="preserve">contain requirements that can be interpreted to </w:t>
      </w:r>
      <w:r w:rsidR="00CE7B6A">
        <w:rPr>
          <w:rFonts w:ascii="Arial" w:hAnsi="Arial" w:cs="Arial"/>
        </w:rPr>
        <w:t>address</w:t>
      </w:r>
      <w:r w:rsidR="002D1304">
        <w:rPr>
          <w:rFonts w:ascii="Arial" w:hAnsi="Arial" w:cs="Arial"/>
        </w:rPr>
        <w:t xml:space="preserve"> </w:t>
      </w:r>
      <w:r w:rsidR="00A73D72" w:rsidRPr="00BD04E2">
        <w:rPr>
          <w:rFonts w:ascii="Arial" w:hAnsi="Arial" w:cs="Arial"/>
        </w:rPr>
        <w:t xml:space="preserve">accreditation programs </w:t>
      </w:r>
      <w:r w:rsidR="00CE7B6A">
        <w:rPr>
          <w:rFonts w:ascii="Arial" w:hAnsi="Arial" w:cs="Arial"/>
        </w:rPr>
        <w:t xml:space="preserve">in </w:t>
      </w:r>
      <w:r w:rsidR="00645851">
        <w:rPr>
          <w:rFonts w:ascii="Arial" w:hAnsi="Arial" w:cs="Arial"/>
        </w:rPr>
        <w:t xml:space="preserve">the </w:t>
      </w:r>
      <w:r w:rsidR="00645851" w:rsidRPr="00BD04E2">
        <w:rPr>
          <w:rFonts w:ascii="Arial" w:hAnsi="Arial" w:cs="Arial"/>
        </w:rPr>
        <w:t>testing</w:t>
      </w:r>
      <w:r w:rsidR="00A73D72" w:rsidRPr="00BD04E2">
        <w:rPr>
          <w:rFonts w:ascii="Arial" w:hAnsi="Arial" w:cs="Arial"/>
        </w:rPr>
        <w:t xml:space="preserve"> (ISO/IEC 17025),</w:t>
      </w:r>
      <w:r w:rsidR="000F09D5" w:rsidRPr="00BD04E2">
        <w:rPr>
          <w:rFonts w:ascii="Arial" w:hAnsi="Arial" w:cs="Arial"/>
        </w:rPr>
        <w:t xml:space="preserve"> </w:t>
      </w:r>
      <w:r w:rsidR="00A73D72" w:rsidRPr="00BD04E2">
        <w:rPr>
          <w:rFonts w:ascii="Arial" w:hAnsi="Arial" w:cs="Arial"/>
        </w:rPr>
        <w:t>inspection (ISO/IEC 17020</w:t>
      </w:r>
      <w:r w:rsidR="00645851" w:rsidRPr="00BD04E2">
        <w:rPr>
          <w:rFonts w:ascii="Arial" w:hAnsi="Arial" w:cs="Arial"/>
        </w:rPr>
        <w:t>)</w:t>
      </w:r>
      <w:r w:rsidR="00645851">
        <w:rPr>
          <w:rFonts w:ascii="Arial" w:hAnsi="Arial" w:cs="Arial"/>
        </w:rPr>
        <w:t>,</w:t>
      </w:r>
      <w:r w:rsidR="00645851" w:rsidRPr="00BD04E2">
        <w:rPr>
          <w:rFonts w:ascii="Arial" w:hAnsi="Arial" w:cs="Arial"/>
        </w:rPr>
        <w:t xml:space="preserve"> product</w:t>
      </w:r>
      <w:r w:rsidR="00A73D72" w:rsidRPr="00BD04E2">
        <w:rPr>
          <w:rFonts w:ascii="Arial" w:hAnsi="Arial" w:cs="Arial"/>
        </w:rPr>
        <w:t xml:space="preserve"> certification (ISO</w:t>
      </w:r>
      <w:r w:rsidR="003101AA" w:rsidRPr="00BD04E2">
        <w:rPr>
          <w:rFonts w:ascii="Arial" w:hAnsi="Arial" w:cs="Arial"/>
        </w:rPr>
        <w:t>/IEC</w:t>
      </w:r>
      <w:r w:rsidR="00A73D72" w:rsidRPr="00BD04E2">
        <w:rPr>
          <w:rFonts w:ascii="Arial" w:hAnsi="Arial" w:cs="Arial"/>
        </w:rPr>
        <w:t xml:space="preserve"> 17065</w:t>
      </w:r>
      <w:r w:rsidR="00E44359" w:rsidRPr="00BD04E2">
        <w:rPr>
          <w:rFonts w:ascii="Arial" w:hAnsi="Arial" w:cs="Arial"/>
        </w:rPr>
        <w:t>)</w:t>
      </w:r>
      <w:r w:rsidR="00CE7B6A">
        <w:rPr>
          <w:rFonts w:ascii="Arial" w:hAnsi="Arial" w:cs="Arial"/>
        </w:rPr>
        <w:t xml:space="preserve"> or a combination thereof</w:t>
      </w:r>
      <w:r w:rsidR="00A73D72" w:rsidRPr="00BD04E2">
        <w:rPr>
          <w:rFonts w:ascii="Arial" w:hAnsi="Arial" w:cs="Arial"/>
        </w:rPr>
        <w:t xml:space="preserve">.  </w:t>
      </w:r>
    </w:p>
    <w:p w14:paraId="35887392" w14:textId="2ED42F48" w:rsidR="009D121C" w:rsidRPr="00BD04E2" w:rsidRDefault="005C7128" w:rsidP="00BD04E2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2.0 </w:t>
      </w:r>
      <w:r w:rsidR="0071405C" w:rsidRPr="00BD04E2">
        <w:rPr>
          <w:rFonts w:ascii="Arial" w:hAnsi="Arial" w:cs="Arial"/>
          <w:b/>
          <w:bCs/>
        </w:rPr>
        <w:t>Guidance</w:t>
      </w:r>
    </w:p>
    <w:p w14:paraId="526A9908" w14:textId="48B6ED3D" w:rsidR="003C3DCB" w:rsidRPr="00BD04E2" w:rsidRDefault="004F12F0" w:rsidP="00BD04E2">
      <w:pPr>
        <w:spacing w:after="120" w:line="276" w:lineRule="auto"/>
        <w:jc w:val="both"/>
        <w:rPr>
          <w:rFonts w:ascii="Arial" w:hAnsi="Arial" w:cs="Arial"/>
        </w:rPr>
      </w:pPr>
      <w:r w:rsidRPr="00BD04E2">
        <w:rPr>
          <w:rFonts w:ascii="Arial" w:hAnsi="Arial" w:cs="Arial"/>
        </w:rPr>
        <w:t xml:space="preserve">Scopes of accreditation </w:t>
      </w:r>
      <w:r w:rsidR="009A6D89" w:rsidRPr="00BD04E2">
        <w:rPr>
          <w:rFonts w:ascii="Arial" w:hAnsi="Arial" w:cs="Arial"/>
        </w:rPr>
        <w:t xml:space="preserve">for testing, inspection or product certification </w:t>
      </w:r>
      <w:r w:rsidR="006155D3" w:rsidRPr="00BD04E2">
        <w:rPr>
          <w:rFonts w:ascii="Arial" w:hAnsi="Arial" w:cs="Arial"/>
        </w:rPr>
        <w:t xml:space="preserve">may claim competence for </w:t>
      </w:r>
      <w:r w:rsidR="0092058B" w:rsidRPr="00BD04E2">
        <w:rPr>
          <w:rFonts w:ascii="Arial" w:hAnsi="Arial" w:cs="Arial"/>
        </w:rPr>
        <w:t xml:space="preserve">the </w:t>
      </w:r>
      <w:r w:rsidR="00BD04E2" w:rsidRPr="00BD04E2">
        <w:rPr>
          <w:rFonts w:ascii="Arial" w:hAnsi="Arial" w:cs="Arial"/>
        </w:rPr>
        <w:t>above-mentioned</w:t>
      </w:r>
      <w:r w:rsidR="0092058B" w:rsidRPr="00BD04E2">
        <w:rPr>
          <w:rFonts w:ascii="Arial" w:hAnsi="Arial" w:cs="Arial"/>
        </w:rPr>
        <w:t xml:space="preserve"> documents</w:t>
      </w:r>
      <w:r w:rsidR="00611B71" w:rsidRPr="00BD04E2">
        <w:rPr>
          <w:rFonts w:ascii="Arial" w:hAnsi="Arial" w:cs="Arial"/>
        </w:rPr>
        <w:t xml:space="preserve"> </w:t>
      </w:r>
      <w:r w:rsidR="009C6297" w:rsidRPr="00BD04E2">
        <w:rPr>
          <w:rFonts w:ascii="Arial" w:hAnsi="Arial" w:cs="Arial"/>
        </w:rPr>
        <w:t>on their scopes of accreditation</w:t>
      </w:r>
      <w:r w:rsidR="0092058B" w:rsidRPr="00BD04E2">
        <w:rPr>
          <w:rFonts w:ascii="Arial" w:hAnsi="Arial" w:cs="Arial"/>
        </w:rPr>
        <w:t>.</w:t>
      </w:r>
      <w:r w:rsidR="009C6297" w:rsidRPr="00BD04E2">
        <w:rPr>
          <w:rFonts w:ascii="Arial" w:hAnsi="Arial" w:cs="Arial"/>
        </w:rPr>
        <w:t xml:space="preserve"> </w:t>
      </w:r>
      <w:r w:rsidR="00CE7B6A">
        <w:rPr>
          <w:rFonts w:ascii="Arial" w:hAnsi="Arial" w:cs="Arial"/>
        </w:rPr>
        <w:t>However, i</w:t>
      </w:r>
      <w:r w:rsidR="0092058B" w:rsidRPr="00BD04E2">
        <w:rPr>
          <w:rFonts w:ascii="Arial" w:hAnsi="Arial" w:cs="Arial"/>
        </w:rPr>
        <w:t xml:space="preserve">n </w:t>
      </w:r>
      <w:r w:rsidR="00CE7B6A">
        <w:rPr>
          <w:rFonts w:ascii="Arial" w:hAnsi="Arial" w:cs="Arial"/>
        </w:rPr>
        <w:t>these situations</w:t>
      </w:r>
      <w:r w:rsidR="0092058B" w:rsidRPr="00BD04E2">
        <w:rPr>
          <w:rFonts w:ascii="Arial" w:hAnsi="Arial" w:cs="Arial"/>
        </w:rPr>
        <w:t>,</w:t>
      </w:r>
      <w:r w:rsidR="009C6297" w:rsidRPr="00BD04E2">
        <w:rPr>
          <w:rFonts w:ascii="Arial" w:hAnsi="Arial" w:cs="Arial"/>
        </w:rPr>
        <w:t xml:space="preserve"> </w:t>
      </w:r>
      <w:r w:rsidR="0092058B" w:rsidRPr="00BD04E2">
        <w:rPr>
          <w:rFonts w:ascii="Arial" w:hAnsi="Arial" w:cs="Arial"/>
        </w:rPr>
        <w:t xml:space="preserve">the </w:t>
      </w:r>
      <w:r w:rsidR="009C6297" w:rsidRPr="00BD04E2">
        <w:rPr>
          <w:rFonts w:ascii="Arial" w:hAnsi="Arial" w:cs="Arial"/>
        </w:rPr>
        <w:t xml:space="preserve">scope must clearly </w:t>
      </w:r>
      <w:r w:rsidR="00CE7B6A">
        <w:rPr>
          <w:rFonts w:ascii="Arial" w:hAnsi="Arial" w:cs="Arial"/>
        </w:rPr>
        <w:t xml:space="preserve">have a disclaimer </w:t>
      </w:r>
      <w:r w:rsidR="009C6297" w:rsidRPr="00BD04E2">
        <w:rPr>
          <w:rFonts w:ascii="Arial" w:hAnsi="Arial" w:cs="Arial"/>
        </w:rPr>
        <w:t>stat</w:t>
      </w:r>
      <w:r w:rsidR="00CE7B6A">
        <w:rPr>
          <w:rFonts w:ascii="Arial" w:hAnsi="Arial" w:cs="Arial"/>
        </w:rPr>
        <w:t>ing</w:t>
      </w:r>
      <w:r w:rsidR="009C6297" w:rsidRPr="00BD04E2">
        <w:rPr>
          <w:rFonts w:ascii="Arial" w:hAnsi="Arial" w:cs="Arial"/>
        </w:rPr>
        <w:t xml:space="preserve"> </w:t>
      </w:r>
      <w:r w:rsidR="00DF0BFF" w:rsidRPr="00BD04E2">
        <w:rPr>
          <w:rFonts w:ascii="Arial" w:hAnsi="Arial" w:cs="Arial"/>
        </w:rPr>
        <w:t xml:space="preserve">which sections of the </w:t>
      </w:r>
      <w:r w:rsidR="00CE7B6A">
        <w:rPr>
          <w:rFonts w:ascii="Arial" w:hAnsi="Arial" w:cs="Arial"/>
        </w:rPr>
        <w:t xml:space="preserve">said </w:t>
      </w:r>
      <w:r w:rsidR="0092058B" w:rsidRPr="00BD04E2">
        <w:rPr>
          <w:rFonts w:ascii="Arial" w:hAnsi="Arial" w:cs="Arial"/>
        </w:rPr>
        <w:t xml:space="preserve">documents </w:t>
      </w:r>
      <w:r w:rsidR="006E369F" w:rsidRPr="00BD04E2">
        <w:rPr>
          <w:rFonts w:ascii="Arial" w:hAnsi="Arial" w:cs="Arial"/>
        </w:rPr>
        <w:t xml:space="preserve">are covered </w:t>
      </w:r>
      <w:r w:rsidR="00CE7B6A">
        <w:rPr>
          <w:rFonts w:ascii="Arial" w:hAnsi="Arial" w:cs="Arial"/>
        </w:rPr>
        <w:t>under</w:t>
      </w:r>
      <w:r w:rsidR="006E369F" w:rsidRPr="00BD04E2">
        <w:rPr>
          <w:rFonts w:ascii="Arial" w:hAnsi="Arial" w:cs="Arial"/>
        </w:rPr>
        <w:t xml:space="preserve"> the scope, or</w:t>
      </w:r>
      <w:r w:rsidR="00C93833" w:rsidRPr="00BD04E2">
        <w:rPr>
          <w:rFonts w:ascii="Arial" w:hAnsi="Arial" w:cs="Arial"/>
        </w:rPr>
        <w:t>, al</w:t>
      </w:r>
      <w:r w:rsidR="007351B0" w:rsidRPr="00BD04E2">
        <w:rPr>
          <w:rFonts w:ascii="Arial" w:hAnsi="Arial" w:cs="Arial"/>
        </w:rPr>
        <w:t>ternatively,</w:t>
      </w:r>
      <w:r w:rsidR="006E369F" w:rsidRPr="00BD04E2">
        <w:rPr>
          <w:rFonts w:ascii="Arial" w:hAnsi="Arial" w:cs="Arial"/>
        </w:rPr>
        <w:t xml:space="preserve"> </w:t>
      </w:r>
      <w:r w:rsidR="00645851">
        <w:rPr>
          <w:rFonts w:ascii="Arial" w:hAnsi="Arial" w:cs="Arial"/>
        </w:rPr>
        <w:t xml:space="preserve">the </w:t>
      </w:r>
      <w:r w:rsidR="00645851" w:rsidRPr="00BD04E2">
        <w:rPr>
          <w:rFonts w:ascii="Arial" w:hAnsi="Arial" w:cs="Arial"/>
        </w:rPr>
        <w:t>sections</w:t>
      </w:r>
      <w:r w:rsidR="002D1304">
        <w:rPr>
          <w:rFonts w:ascii="Arial" w:hAnsi="Arial" w:cs="Arial"/>
        </w:rPr>
        <w:t xml:space="preserve">, </w:t>
      </w:r>
      <w:r w:rsidR="00CE7B6A">
        <w:rPr>
          <w:rFonts w:ascii="Arial" w:hAnsi="Arial" w:cs="Arial"/>
        </w:rPr>
        <w:t>that have been</w:t>
      </w:r>
      <w:r w:rsidR="006E369F" w:rsidRPr="00BD04E2">
        <w:rPr>
          <w:rFonts w:ascii="Arial" w:hAnsi="Arial" w:cs="Arial"/>
        </w:rPr>
        <w:t xml:space="preserve"> excluded.  </w:t>
      </w:r>
    </w:p>
    <w:p w14:paraId="16FD53AE" w14:textId="2728C1FE" w:rsidR="003C3DCB" w:rsidRPr="00BD04E2" w:rsidRDefault="003C3DCB" w:rsidP="00BD04E2">
      <w:pPr>
        <w:spacing w:after="120" w:line="276" w:lineRule="auto"/>
        <w:jc w:val="both"/>
        <w:rPr>
          <w:rFonts w:ascii="Arial" w:hAnsi="Arial" w:cs="Arial"/>
        </w:rPr>
      </w:pPr>
      <w:r w:rsidRPr="00BD04E2">
        <w:rPr>
          <w:rFonts w:ascii="Arial" w:hAnsi="Arial" w:cs="Arial"/>
        </w:rPr>
        <w:t>The appendi</w:t>
      </w:r>
      <w:r w:rsidR="003911AD">
        <w:rPr>
          <w:rFonts w:ascii="Arial" w:hAnsi="Arial" w:cs="Arial"/>
        </w:rPr>
        <w:t>ces</w:t>
      </w:r>
      <w:r w:rsidRPr="00BD04E2">
        <w:rPr>
          <w:rFonts w:ascii="Arial" w:hAnsi="Arial" w:cs="Arial"/>
        </w:rPr>
        <w:t xml:space="preserve"> </w:t>
      </w:r>
      <w:r w:rsidR="00CE7B6A">
        <w:rPr>
          <w:rFonts w:ascii="Arial" w:hAnsi="Arial" w:cs="Arial"/>
        </w:rPr>
        <w:t xml:space="preserve">listed in this guidance policy </w:t>
      </w:r>
      <w:r w:rsidR="00645851" w:rsidRPr="00BD04E2">
        <w:rPr>
          <w:rFonts w:ascii="Arial" w:hAnsi="Arial" w:cs="Arial"/>
        </w:rPr>
        <w:t xml:space="preserve">provides </w:t>
      </w:r>
      <w:r w:rsidR="00645851">
        <w:rPr>
          <w:rFonts w:ascii="Arial" w:hAnsi="Arial" w:cs="Arial"/>
        </w:rPr>
        <w:t>clause</w:t>
      </w:r>
      <w:r w:rsidR="003911AD">
        <w:rPr>
          <w:rFonts w:ascii="Arial" w:hAnsi="Arial" w:cs="Arial"/>
        </w:rPr>
        <w:t xml:space="preserve"> by clause </w:t>
      </w:r>
      <w:r w:rsidR="002D1304">
        <w:rPr>
          <w:rFonts w:ascii="Arial" w:hAnsi="Arial" w:cs="Arial"/>
        </w:rPr>
        <w:t>management.</w:t>
      </w:r>
      <w:r w:rsidR="003911AD">
        <w:rPr>
          <w:rFonts w:ascii="Arial" w:hAnsi="Arial" w:cs="Arial"/>
        </w:rPr>
        <w:t xml:space="preserve"> It provides</w:t>
      </w:r>
      <w:r w:rsidR="002D1304">
        <w:rPr>
          <w:rFonts w:ascii="Arial" w:hAnsi="Arial" w:cs="Arial"/>
        </w:rPr>
        <w:t xml:space="preserve"> </w:t>
      </w:r>
      <w:r w:rsidR="003911AD">
        <w:rPr>
          <w:rFonts w:ascii="Arial" w:hAnsi="Arial" w:cs="Arial"/>
        </w:rPr>
        <w:t>information on</w:t>
      </w:r>
      <w:r w:rsidRPr="00BD04E2">
        <w:rPr>
          <w:rFonts w:ascii="Arial" w:hAnsi="Arial" w:cs="Arial"/>
        </w:rPr>
        <w:t xml:space="preserve"> sections of PS1 and PS2 </w:t>
      </w:r>
      <w:r w:rsidR="00CE7B6A">
        <w:rPr>
          <w:rFonts w:ascii="Arial" w:hAnsi="Arial" w:cs="Arial"/>
        </w:rPr>
        <w:t xml:space="preserve">standards that </w:t>
      </w:r>
      <w:r w:rsidRPr="00BD04E2">
        <w:rPr>
          <w:rFonts w:ascii="Arial" w:hAnsi="Arial" w:cs="Arial"/>
        </w:rPr>
        <w:t>c</w:t>
      </w:r>
      <w:r w:rsidR="003911AD">
        <w:rPr>
          <w:rFonts w:ascii="Arial" w:hAnsi="Arial" w:cs="Arial"/>
        </w:rPr>
        <w:t>ould</w:t>
      </w:r>
      <w:r w:rsidRPr="00BD04E2">
        <w:rPr>
          <w:rFonts w:ascii="Arial" w:hAnsi="Arial" w:cs="Arial"/>
        </w:rPr>
        <w:t xml:space="preserve"> be related to</w:t>
      </w:r>
      <w:r w:rsidR="003911AD">
        <w:rPr>
          <w:rFonts w:ascii="Arial" w:hAnsi="Arial" w:cs="Arial"/>
        </w:rPr>
        <w:t xml:space="preserve"> </w:t>
      </w:r>
      <w:r w:rsidRPr="00BD04E2">
        <w:rPr>
          <w:rFonts w:ascii="Arial" w:hAnsi="Arial" w:cs="Arial"/>
        </w:rPr>
        <w:t xml:space="preserve">specific </w:t>
      </w:r>
      <w:r w:rsidR="006563B0" w:rsidRPr="00BD04E2">
        <w:rPr>
          <w:rFonts w:ascii="Arial" w:hAnsi="Arial" w:cs="Arial"/>
        </w:rPr>
        <w:t>accreditation standards</w:t>
      </w:r>
      <w:r w:rsidR="00CE7B6A">
        <w:rPr>
          <w:rFonts w:ascii="Arial" w:hAnsi="Arial" w:cs="Arial"/>
        </w:rPr>
        <w:t xml:space="preserve"> </w:t>
      </w:r>
      <w:r w:rsidR="00CE7B6A" w:rsidRPr="00BD04E2">
        <w:rPr>
          <w:rFonts w:ascii="Arial" w:hAnsi="Arial" w:cs="Arial"/>
        </w:rPr>
        <w:t>(ISO/IEC 17025, ISO/IEC 17020</w:t>
      </w:r>
      <w:r w:rsidR="00CE7B6A">
        <w:rPr>
          <w:rFonts w:ascii="Arial" w:hAnsi="Arial" w:cs="Arial"/>
        </w:rPr>
        <w:t xml:space="preserve"> and/or </w:t>
      </w:r>
      <w:r w:rsidR="00CE7B6A" w:rsidRPr="00BD04E2">
        <w:rPr>
          <w:rFonts w:ascii="Arial" w:hAnsi="Arial" w:cs="Arial"/>
        </w:rPr>
        <w:t>ISO/IEC 17065)</w:t>
      </w:r>
      <w:r w:rsidR="006563B0" w:rsidRPr="00BD04E2">
        <w:rPr>
          <w:rFonts w:ascii="Arial" w:hAnsi="Arial" w:cs="Arial"/>
        </w:rPr>
        <w:t>.</w:t>
      </w:r>
    </w:p>
    <w:p w14:paraId="09445478" w14:textId="67338BA0" w:rsidR="00757A63" w:rsidRPr="00BD04E2" w:rsidRDefault="00CE7B6A" w:rsidP="00BD04E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note that the </w:t>
      </w:r>
      <w:r w:rsidR="00757A63" w:rsidRPr="00BD04E2">
        <w:rPr>
          <w:rFonts w:ascii="Arial" w:hAnsi="Arial" w:cs="Arial"/>
        </w:rPr>
        <w:t xml:space="preserve">EU </w:t>
      </w:r>
      <w:r w:rsidR="00050949" w:rsidRPr="00BD04E2">
        <w:rPr>
          <w:rFonts w:ascii="Arial" w:hAnsi="Arial" w:cs="Arial"/>
        </w:rPr>
        <w:t>Directives/</w:t>
      </w:r>
      <w:r w:rsidR="00757A63" w:rsidRPr="00BD04E2">
        <w:rPr>
          <w:rFonts w:ascii="Arial" w:hAnsi="Arial" w:cs="Arial"/>
        </w:rPr>
        <w:t xml:space="preserve">Regulations must be considered </w:t>
      </w:r>
      <w:r>
        <w:rPr>
          <w:rFonts w:ascii="Arial" w:hAnsi="Arial" w:cs="Arial"/>
        </w:rPr>
        <w:t xml:space="preserve">for each </w:t>
      </w:r>
      <w:r w:rsidR="00645851">
        <w:rPr>
          <w:rFonts w:ascii="Arial" w:hAnsi="Arial" w:cs="Arial"/>
        </w:rPr>
        <w:t xml:space="preserve">single </w:t>
      </w:r>
      <w:r w:rsidR="00645851" w:rsidRPr="00BD04E2">
        <w:rPr>
          <w:rFonts w:ascii="Arial" w:hAnsi="Arial" w:cs="Arial"/>
        </w:rPr>
        <w:t>case</w:t>
      </w:r>
      <w:r w:rsidR="00757A63" w:rsidRPr="00BD04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 e</w:t>
      </w:r>
      <w:r w:rsidR="003911A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tablishing compliance </w:t>
      </w:r>
      <w:r w:rsidR="00757A63" w:rsidRPr="00BD04E2">
        <w:rPr>
          <w:rFonts w:ascii="Arial" w:hAnsi="Arial" w:cs="Arial"/>
        </w:rPr>
        <w:t xml:space="preserve">and </w:t>
      </w:r>
      <w:r w:rsidR="003911AD">
        <w:rPr>
          <w:rFonts w:ascii="Arial" w:hAnsi="Arial" w:cs="Arial"/>
        </w:rPr>
        <w:t xml:space="preserve">the applicant or accredited organization provide </w:t>
      </w:r>
      <w:r w:rsidR="00757A63" w:rsidRPr="00BD04E2">
        <w:rPr>
          <w:rFonts w:ascii="Arial" w:hAnsi="Arial" w:cs="Arial"/>
        </w:rPr>
        <w:t xml:space="preserve">appropriate </w:t>
      </w:r>
      <w:r w:rsidR="00674EFF" w:rsidRPr="00BD04E2">
        <w:rPr>
          <w:rFonts w:ascii="Arial" w:hAnsi="Arial" w:cs="Arial"/>
        </w:rPr>
        <w:t>direction to</w:t>
      </w:r>
      <w:r w:rsidR="00757A63" w:rsidRPr="00BD04E2">
        <w:rPr>
          <w:rFonts w:ascii="Arial" w:hAnsi="Arial" w:cs="Arial"/>
        </w:rPr>
        <w:t xml:space="preserve"> </w:t>
      </w:r>
      <w:r w:rsidR="003911AD">
        <w:rPr>
          <w:rFonts w:ascii="Arial" w:hAnsi="Arial" w:cs="Arial"/>
        </w:rPr>
        <w:t xml:space="preserve">the IAS </w:t>
      </w:r>
      <w:r w:rsidR="00757A63" w:rsidRPr="00BD04E2">
        <w:rPr>
          <w:rFonts w:ascii="Arial" w:hAnsi="Arial" w:cs="Arial"/>
        </w:rPr>
        <w:t xml:space="preserve">Lead Assessor </w:t>
      </w:r>
      <w:r w:rsidR="003911AD">
        <w:rPr>
          <w:rFonts w:ascii="Arial" w:hAnsi="Arial" w:cs="Arial"/>
        </w:rPr>
        <w:t xml:space="preserve">to ensure that the correct compliance is </w:t>
      </w:r>
      <w:r w:rsidR="00674EFF">
        <w:rPr>
          <w:rFonts w:ascii="Arial" w:hAnsi="Arial" w:cs="Arial"/>
        </w:rPr>
        <w:t>met.</w:t>
      </w:r>
      <w:r w:rsidR="00050949" w:rsidRPr="00BD04E2">
        <w:rPr>
          <w:rFonts w:ascii="Arial" w:hAnsi="Arial" w:cs="Arial"/>
        </w:rPr>
        <w:t xml:space="preserve"> A list of such Directives/Regulations is presented at Appendix 3. </w:t>
      </w:r>
      <w:bookmarkStart w:id="0" w:name="_GoBack"/>
      <w:bookmarkEnd w:id="0"/>
    </w:p>
    <w:p w14:paraId="4D2151FB" w14:textId="77777777" w:rsidR="0011628B" w:rsidRPr="00BD04E2" w:rsidRDefault="0011628B" w:rsidP="00BD04E2">
      <w:pPr>
        <w:spacing w:after="120" w:line="276" w:lineRule="auto"/>
        <w:jc w:val="both"/>
        <w:rPr>
          <w:rFonts w:ascii="Arial" w:hAnsi="Arial" w:cs="Arial"/>
        </w:rPr>
      </w:pPr>
    </w:p>
    <w:p w14:paraId="4FFEABD1" w14:textId="3D6C064B" w:rsidR="0011628B" w:rsidRPr="00BD04E2" w:rsidRDefault="005C7128" w:rsidP="00BD04E2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3.0 </w:t>
      </w:r>
      <w:r w:rsidR="003911AD">
        <w:rPr>
          <w:rFonts w:ascii="Arial" w:hAnsi="Arial" w:cs="Arial"/>
          <w:b/>
          <w:bCs/>
        </w:rPr>
        <w:t xml:space="preserve">Information listed in the </w:t>
      </w:r>
      <w:r w:rsidR="0011628B" w:rsidRPr="00BD04E2">
        <w:rPr>
          <w:rFonts w:ascii="Arial" w:hAnsi="Arial" w:cs="Arial"/>
          <w:b/>
          <w:bCs/>
        </w:rPr>
        <w:t>Appendi</w:t>
      </w:r>
      <w:r w:rsidR="003911AD">
        <w:rPr>
          <w:rFonts w:ascii="Arial" w:hAnsi="Arial" w:cs="Arial"/>
          <w:b/>
          <w:bCs/>
        </w:rPr>
        <w:t>ces</w:t>
      </w:r>
    </w:p>
    <w:p w14:paraId="1D578275" w14:textId="740FD365" w:rsidR="005C7128" w:rsidRDefault="00050949" w:rsidP="005C7128">
      <w:pPr>
        <w:spacing w:after="120" w:line="276" w:lineRule="auto"/>
        <w:jc w:val="both"/>
        <w:rPr>
          <w:rFonts w:ascii="Arial" w:hAnsi="Arial" w:cs="Arial"/>
        </w:rPr>
      </w:pPr>
      <w:r w:rsidRPr="00BD04E2">
        <w:rPr>
          <w:rFonts w:ascii="Arial" w:hAnsi="Arial" w:cs="Arial"/>
        </w:rPr>
        <w:t xml:space="preserve">Appendixes 1 and 2 </w:t>
      </w:r>
      <w:r w:rsidR="00497FBC" w:rsidRPr="00BD04E2">
        <w:rPr>
          <w:rFonts w:ascii="Arial" w:hAnsi="Arial" w:cs="Arial"/>
        </w:rPr>
        <w:t xml:space="preserve">below </w:t>
      </w:r>
      <w:r w:rsidR="00D90A3D" w:rsidRPr="00BD04E2">
        <w:rPr>
          <w:rFonts w:ascii="Arial" w:hAnsi="Arial" w:cs="Arial"/>
        </w:rPr>
        <w:t>show how different sections of the PS1</w:t>
      </w:r>
      <w:r w:rsidR="000562D4" w:rsidRPr="00BD04E2">
        <w:rPr>
          <w:rFonts w:ascii="Arial" w:hAnsi="Arial" w:cs="Arial"/>
        </w:rPr>
        <w:t xml:space="preserve">-19 and PS2-18 </w:t>
      </w:r>
      <w:r w:rsidR="004D1262" w:rsidRPr="00BD04E2">
        <w:rPr>
          <w:rFonts w:ascii="Arial" w:hAnsi="Arial" w:cs="Arial"/>
        </w:rPr>
        <w:t xml:space="preserve">may </w:t>
      </w:r>
      <w:r w:rsidR="000E1AA3" w:rsidRPr="00BD04E2">
        <w:rPr>
          <w:rFonts w:ascii="Arial" w:hAnsi="Arial" w:cs="Arial"/>
        </w:rPr>
        <w:t>fall under different accreditation programs.</w:t>
      </w:r>
      <w:r w:rsidR="005C7128">
        <w:rPr>
          <w:rFonts w:ascii="Arial" w:hAnsi="Arial" w:cs="Arial"/>
        </w:rPr>
        <w:t xml:space="preserve"> </w:t>
      </w:r>
    </w:p>
    <w:p w14:paraId="72053FE7" w14:textId="09886878" w:rsidR="005C7128" w:rsidRDefault="005C7128" w:rsidP="00BD04E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Appendix 3 presents a list of applicable </w:t>
      </w:r>
      <w:r w:rsidRPr="00E62342">
        <w:rPr>
          <w:rFonts w:ascii="Arial" w:hAnsi="Arial" w:cs="Arial"/>
        </w:rPr>
        <w:t>EU Directives/Regulations</w:t>
      </w:r>
      <w:r>
        <w:rPr>
          <w:rFonts w:ascii="Arial" w:hAnsi="Arial" w:cs="Arial"/>
        </w:rPr>
        <w:t xml:space="preserve"> (non-exhaustive). </w:t>
      </w:r>
    </w:p>
    <w:p w14:paraId="6F06C6F6" w14:textId="6C95996A" w:rsidR="005C7128" w:rsidRDefault="005C7128" w:rsidP="00BD0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0BB829" w14:textId="103CFEE5" w:rsidR="005C7128" w:rsidRPr="00BD04E2" w:rsidRDefault="005C7128" w:rsidP="005C712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BD04E2">
        <w:rPr>
          <w:rFonts w:ascii="Arial" w:hAnsi="Arial" w:cs="Arial"/>
          <w:b/>
          <w:sz w:val="24"/>
          <w:szCs w:val="24"/>
        </w:rPr>
        <w:lastRenderedPageBreak/>
        <w:t>Appendix 1</w:t>
      </w:r>
    </w:p>
    <w:tbl>
      <w:tblPr>
        <w:tblStyle w:val="TableGrid"/>
        <w:tblpPr w:leftFromText="180" w:rightFromText="180" w:horzAnchor="margin" w:tblpY="615"/>
        <w:tblW w:w="9625" w:type="dxa"/>
        <w:tblLook w:val="04A0" w:firstRow="1" w:lastRow="0" w:firstColumn="1" w:lastColumn="0" w:noHBand="0" w:noVBand="1"/>
      </w:tblPr>
      <w:tblGrid>
        <w:gridCol w:w="1402"/>
        <w:gridCol w:w="2823"/>
        <w:gridCol w:w="3690"/>
        <w:gridCol w:w="1710"/>
      </w:tblGrid>
      <w:tr w:rsidR="00750497" w14:paraId="50C1C36D" w14:textId="77777777" w:rsidTr="005A0C52">
        <w:tc>
          <w:tcPr>
            <w:tcW w:w="9625" w:type="dxa"/>
            <w:gridSpan w:val="4"/>
            <w:shd w:val="clear" w:color="auto" w:fill="BFBFBF" w:themeFill="background1" w:themeFillShade="BF"/>
          </w:tcPr>
          <w:p w14:paraId="18F381A8" w14:textId="77777777" w:rsidR="00750497" w:rsidRPr="00D341B3" w:rsidRDefault="00750497" w:rsidP="005A0C52">
            <w:pPr>
              <w:rPr>
                <w:rFonts w:ascii="Arial" w:hAnsi="Arial" w:cs="Arial"/>
                <w:b/>
                <w:color w:val="538135" w:themeColor="accent6" w:themeShade="BF"/>
                <w:sz w:val="36"/>
                <w:szCs w:val="36"/>
              </w:rPr>
            </w:pPr>
            <w:r w:rsidRPr="00D341B3">
              <w:rPr>
                <w:rFonts w:ascii="Arial" w:hAnsi="Arial" w:cs="Arial"/>
                <w:b/>
                <w:color w:val="538135" w:themeColor="accent6" w:themeShade="BF"/>
                <w:sz w:val="36"/>
                <w:szCs w:val="36"/>
              </w:rPr>
              <w:t>PS 1-19 Standard – TL, AA, and PCA specifics</w:t>
            </w:r>
          </w:p>
        </w:tc>
      </w:tr>
      <w:tr w:rsidR="00750497" w14:paraId="0FCE83F8" w14:textId="77777777" w:rsidTr="005A0C52">
        <w:tc>
          <w:tcPr>
            <w:tcW w:w="1402" w:type="dxa"/>
            <w:shd w:val="clear" w:color="auto" w:fill="BFBFBF" w:themeFill="background1" w:themeFillShade="BF"/>
          </w:tcPr>
          <w:p w14:paraId="34730BAF" w14:textId="77777777" w:rsidR="00750497" w:rsidRPr="00F82FE7" w:rsidRDefault="00750497" w:rsidP="005A0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FE7">
              <w:rPr>
                <w:rFonts w:ascii="Arial" w:hAnsi="Arial" w:cs="Arial"/>
                <w:b/>
                <w:sz w:val="24"/>
                <w:szCs w:val="24"/>
              </w:rPr>
              <w:t>Clauses</w:t>
            </w:r>
          </w:p>
        </w:tc>
        <w:tc>
          <w:tcPr>
            <w:tcW w:w="2823" w:type="dxa"/>
            <w:shd w:val="clear" w:color="auto" w:fill="BFBFBF" w:themeFill="background1" w:themeFillShade="BF"/>
          </w:tcPr>
          <w:p w14:paraId="3C93FF4F" w14:textId="77777777" w:rsidR="00750497" w:rsidRPr="00F82FE7" w:rsidRDefault="00750497" w:rsidP="005A0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FE7">
              <w:rPr>
                <w:rFonts w:ascii="Arial" w:hAnsi="Arial" w:cs="Arial"/>
                <w:b/>
                <w:sz w:val="24"/>
                <w:szCs w:val="24"/>
              </w:rPr>
              <w:t>TL Specific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14B63F29" w14:textId="77777777" w:rsidR="00750497" w:rsidRPr="00F82FE7" w:rsidRDefault="00750497" w:rsidP="005A0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FE7">
              <w:rPr>
                <w:rFonts w:ascii="Arial" w:hAnsi="Arial" w:cs="Arial"/>
                <w:b/>
                <w:sz w:val="24"/>
                <w:szCs w:val="24"/>
              </w:rPr>
              <w:t>AA Specific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EA1C9FC" w14:textId="77777777" w:rsidR="00750497" w:rsidRPr="00F82FE7" w:rsidRDefault="00750497" w:rsidP="005A0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FE7">
              <w:rPr>
                <w:rFonts w:ascii="Arial" w:hAnsi="Arial" w:cs="Arial"/>
                <w:b/>
                <w:sz w:val="24"/>
                <w:szCs w:val="24"/>
              </w:rPr>
              <w:t>PCA Specific</w:t>
            </w:r>
          </w:p>
        </w:tc>
      </w:tr>
      <w:tr w:rsidR="00750497" w:rsidRPr="00F82FE7" w14:paraId="70BE0AAB" w14:textId="77777777" w:rsidTr="005A0C52">
        <w:tc>
          <w:tcPr>
            <w:tcW w:w="1402" w:type="dxa"/>
          </w:tcPr>
          <w:p w14:paraId="00A97626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5.2</w:t>
            </w:r>
          </w:p>
        </w:tc>
        <w:tc>
          <w:tcPr>
            <w:tcW w:w="2823" w:type="dxa"/>
          </w:tcPr>
          <w:p w14:paraId="0026340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4A58D36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 xml:space="preserve"> Wood Species </w:t>
            </w:r>
          </w:p>
        </w:tc>
        <w:tc>
          <w:tcPr>
            <w:tcW w:w="1710" w:type="dxa"/>
          </w:tcPr>
          <w:p w14:paraId="6E273235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6883A897" w14:textId="77777777" w:rsidTr="005A0C52">
        <w:tc>
          <w:tcPr>
            <w:tcW w:w="1402" w:type="dxa"/>
          </w:tcPr>
          <w:p w14:paraId="45AC4638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5.3</w:t>
            </w:r>
          </w:p>
        </w:tc>
        <w:tc>
          <w:tcPr>
            <w:tcW w:w="2823" w:type="dxa"/>
          </w:tcPr>
          <w:p w14:paraId="7D0EB52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849493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 xml:space="preserve">Synthetic Repairs </w:t>
            </w:r>
          </w:p>
        </w:tc>
        <w:tc>
          <w:tcPr>
            <w:tcW w:w="1710" w:type="dxa"/>
          </w:tcPr>
          <w:p w14:paraId="6E8B13CE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71DA9CC4" w14:textId="77777777" w:rsidTr="005A0C52">
        <w:tc>
          <w:tcPr>
            <w:tcW w:w="1402" w:type="dxa"/>
          </w:tcPr>
          <w:p w14:paraId="1DE79248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5.4</w:t>
            </w:r>
          </w:p>
        </w:tc>
        <w:tc>
          <w:tcPr>
            <w:tcW w:w="2823" w:type="dxa"/>
          </w:tcPr>
          <w:p w14:paraId="57E39D6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21B9DE4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Grade description of veneers</w:t>
            </w:r>
          </w:p>
        </w:tc>
        <w:tc>
          <w:tcPr>
            <w:tcW w:w="1710" w:type="dxa"/>
          </w:tcPr>
          <w:p w14:paraId="08850341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2C1D58A0" w14:textId="77777777" w:rsidTr="005A0C52">
        <w:tc>
          <w:tcPr>
            <w:tcW w:w="1402" w:type="dxa"/>
          </w:tcPr>
          <w:p w14:paraId="6ABD0855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5.5</w:t>
            </w:r>
          </w:p>
        </w:tc>
        <w:tc>
          <w:tcPr>
            <w:tcW w:w="2823" w:type="dxa"/>
          </w:tcPr>
          <w:p w14:paraId="70F58BE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70513C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Veneers and layers</w:t>
            </w:r>
          </w:p>
        </w:tc>
        <w:tc>
          <w:tcPr>
            <w:tcW w:w="1710" w:type="dxa"/>
          </w:tcPr>
          <w:p w14:paraId="38D3B04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275A32DF" w14:textId="77777777" w:rsidTr="005A0C52">
        <w:tc>
          <w:tcPr>
            <w:tcW w:w="1402" w:type="dxa"/>
          </w:tcPr>
          <w:p w14:paraId="7CDDAFA3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5.6</w:t>
            </w:r>
          </w:p>
        </w:tc>
        <w:tc>
          <w:tcPr>
            <w:tcW w:w="2823" w:type="dxa"/>
          </w:tcPr>
          <w:p w14:paraId="5FA8054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BDFB223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Panel grades</w:t>
            </w:r>
          </w:p>
        </w:tc>
        <w:tc>
          <w:tcPr>
            <w:tcW w:w="1710" w:type="dxa"/>
          </w:tcPr>
          <w:p w14:paraId="5FC1C2C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20D6A894" w14:textId="77777777" w:rsidTr="005A0C52">
        <w:tc>
          <w:tcPr>
            <w:tcW w:w="1402" w:type="dxa"/>
          </w:tcPr>
          <w:p w14:paraId="4A5E620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5.7</w:t>
            </w:r>
          </w:p>
        </w:tc>
        <w:tc>
          <w:tcPr>
            <w:tcW w:w="2823" w:type="dxa"/>
          </w:tcPr>
          <w:p w14:paraId="21E3E8F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F6DCCB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Adhesive bond requirements for a panel or a lot</w:t>
            </w:r>
          </w:p>
        </w:tc>
        <w:tc>
          <w:tcPr>
            <w:tcW w:w="1710" w:type="dxa"/>
          </w:tcPr>
          <w:p w14:paraId="7254232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0D184FD4" w14:textId="77777777" w:rsidTr="005A0C52">
        <w:tc>
          <w:tcPr>
            <w:tcW w:w="1402" w:type="dxa"/>
          </w:tcPr>
          <w:p w14:paraId="660DFBD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5.8.1</w:t>
            </w:r>
          </w:p>
        </w:tc>
        <w:tc>
          <w:tcPr>
            <w:tcW w:w="2823" w:type="dxa"/>
          </w:tcPr>
          <w:p w14:paraId="4182A11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B6C097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Crossband gaps and center gaps</w:t>
            </w:r>
          </w:p>
        </w:tc>
        <w:tc>
          <w:tcPr>
            <w:tcW w:w="1710" w:type="dxa"/>
          </w:tcPr>
          <w:p w14:paraId="0AB2EC1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32C487BE" w14:textId="77777777" w:rsidTr="005A0C52">
        <w:tc>
          <w:tcPr>
            <w:tcW w:w="1402" w:type="dxa"/>
          </w:tcPr>
          <w:p w14:paraId="78BB3C3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5.8.2</w:t>
            </w:r>
          </w:p>
        </w:tc>
        <w:tc>
          <w:tcPr>
            <w:tcW w:w="2823" w:type="dxa"/>
          </w:tcPr>
          <w:p w14:paraId="4201559B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83DF67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Veneer requirements</w:t>
            </w:r>
          </w:p>
        </w:tc>
        <w:tc>
          <w:tcPr>
            <w:tcW w:w="1710" w:type="dxa"/>
          </w:tcPr>
          <w:p w14:paraId="0C26422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55C62C23" w14:textId="77777777" w:rsidTr="005A0C52">
        <w:tc>
          <w:tcPr>
            <w:tcW w:w="1402" w:type="dxa"/>
          </w:tcPr>
          <w:p w14:paraId="389858FE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5.8.3</w:t>
            </w:r>
          </w:p>
        </w:tc>
        <w:tc>
          <w:tcPr>
            <w:tcW w:w="2823" w:type="dxa"/>
          </w:tcPr>
          <w:p w14:paraId="479AE15D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BC48581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Sanded panels</w:t>
            </w:r>
          </w:p>
        </w:tc>
        <w:tc>
          <w:tcPr>
            <w:tcW w:w="1710" w:type="dxa"/>
          </w:tcPr>
          <w:p w14:paraId="5D425BB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50AF76AF" w14:textId="77777777" w:rsidTr="005A0C52">
        <w:tc>
          <w:tcPr>
            <w:tcW w:w="1402" w:type="dxa"/>
          </w:tcPr>
          <w:p w14:paraId="2E9829A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5.8.4</w:t>
            </w:r>
          </w:p>
        </w:tc>
        <w:tc>
          <w:tcPr>
            <w:tcW w:w="2823" w:type="dxa"/>
          </w:tcPr>
          <w:p w14:paraId="1E83F8C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7EC2B88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 xml:space="preserve">Unsanded and touch-sanded panels </w:t>
            </w:r>
          </w:p>
        </w:tc>
        <w:tc>
          <w:tcPr>
            <w:tcW w:w="1710" w:type="dxa"/>
          </w:tcPr>
          <w:p w14:paraId="4A4EEB8E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139455F9" w14:textId="77777777" w:rsidTr="005A0C52">
        <w:tc>
          <w:tcPr>
            <w:tcW w:w="1402" w:type="dxa"/>
          </w:tcPr>
          <w:p w14:paraId="7668F814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5.8.5</w:t>
            </w:r>
          </w:p>
        </w:tc>
        <w:tc>
          <w:tcPr>
            <w:tcW w:w="2823" w:type="dxa"/>
          </w:tcPr>
          <w:p w14:paraId="340215A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F062B7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Span rating for panels</w:t>
            </w:r>
          </w:p>
        </w:tc>
        <w:tc>
          <w:tcPr>
            <w:tcW w:w="1710" w:type="dxa"/>
          </w:tcPr>
          <w:p w14:paraId="3ABD849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1A3AE8AC" w14:textId="77777777" w:rsidTr="005A0C52">
        <w:tc>
          <w:tcPr>
            <w:tcW w:w="1402" w:type="dxa"/>
          </w:tcPr>
          <w:p w14:paraId="3CB2DF04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5.8.6</w:t>
            </w:r>
          </w:p>
        </w:tc>
        <w:tc>
          <w:tcPr>
            <w:tcW w:w="2823" w:type="dxa"/>
          </w:tcPr>
          <w:p w14:paraId="352260B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>Performance testing qualification requirements for span-rated panels</w:t>
            </w:r>
          </w:p>
        </w:tc>
        <w:tc>
          <w:tcPr>
            <w:tcW w:w="3690" w:type="dxa"/>
          </w:tcPr>
          <w:p w14:paraId="02E5122B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8F6AC4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2BF9321A" w14:textId="77777777" w:rsidTr="005A0C52">
        <w:tc>
          <w:tcPr>
            <w:tcW w:w="1402" w:type="dxa"/>
          </w:tcPr>
          <w:p w14:paraId="60FCDBA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5.8.7</w:t>
            </w:r>
          </w:p>
        </w:tc>
        <w:tc>
          <w:tcPr>
            <w:tcW w:w="2823" w:type="dxa"/>
          </w:tcPr>
          <w:p w14:paraId="5F83BFAE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>Performance testing qualification requirements for other than span-rated panels</w:t>
            </w:r>
          </w:p>
        </w:tc>
        <w:tc>
          <w:tcPr>
            <w:tcW w:w="3690" w:type="dxa"/>
          </w:tcPr>
          <w:p w14:paraId="5C5D5585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3A6AAF5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1A479BD8" w14:textId="77777777" w:rsidTr="005A0C52">
        <w:tc>
          <w:tcPr>
            <w:tcW w:w="1402" w:type="dxa"/>
          </w:tcPr>
          <w:p w14:paraId="1203D2A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5.9</w:t>
            </w:r>
          </w:p>
        </w:tc>
        <w:tc>
          <w:tcPr>
            <w:tcW w:w="2823" w:type="dxa"/>
          </w:tcPr>
          <w:p w14:paraId="37B54E4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5.9.1 (Strength requirements for scarf and finger jointed panels), 5.9.2 (</w:t>
            </w:r>
            <w:r w:rsidRPr="00E5558C">
              <w:rPr>
                <w:rFonts w:ascii="Arial" w:hAnsi="Arial" w:cs="Arial"/>
                <w:bCs/>
              </w:rPr>
              <w:t>Scarf joint bond performance for Exposure 1 and Exterior plywood</w:t>
            </w:r>
            <w:r w:rsidRPr="00E5558C">
              <w:rPr>
                <w:rFonts w:ascii="Arial" w:hAnsi="Arial" w:cs="Arial"/>
              </w:rPr>
              <w:t>),</w:t>
            </w:r>
          </w:p>
          <w:p w14:paraId="4187B136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5.9.3 (</w:t>
            </w:r>
            <w:r w:rsidRPr="00E5558C">
              <w:rPr>
                <w:rFonts w:ascii="Arial" w:hAnsi="Arial" w:cs="Arial"/>
                <w:bCs/>
              </w:rPr>
              <w:t>Finger joint bond performance for Exposure 1 and Exterior plywood)</w:t>
            </w:r>
          </w:p>
        </w:tc>
        <w:tc>
          <w:tcPr>
            <w:tcW w:w="3690" w:type="dxa"/>
          </w:tcPr>
          <w:p w14:paraId="0DA634CB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Scarf and finger jointed panels</w:t>
            </w:r>
          </w:p>
        </w:tc>
        <w:tc>
          <w:tcPr>
            <w:tcW w:w="1710" w:type="dxa"/>
          </w:tcPr>
          <w:p w14:paraId="3C4410D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6A7344EC" w14:textId="77777777" w:rsidTr="005A0C52">
        <w:tc>
          <w:tcPr>
            <w:tcW w:w="1402" w:type="dxa"/>
          </w:tcPr>
          <w:p w14:paraId="483271B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5.10</w:t>
            </w:r>
          </w:p>
        </w:tc>
        <w:tc>
          <w:tcPr>
            <w:tcW w:w="2823" w:type="dxa"/>
          </w:tcPr>
          <w:p w14:paraId="5241D89E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Size tolerances</w:t>
            </w:r>
          </w:p>
        </w:tc>
        <w:tc>
          <w:tcPr>
            <w:tcW w:w="3690" w:type="dxa"/>
          </w:tcPr>
          <w:p w14:paraId="431FFC64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Size tolerances</w:t>
            </w:r>
          </w:p>
        </w:tc>
        <w:tc>
          <w:tcPr>
            <w:tcW w:w="1710" w:type="dxa"/>
          </w:tcPr>
          <w:p w14:paraId="3D225DB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7A804554" w14:textId="77777777" w:rsidTr="005A0C52">
        <w:tc>
          <w:tcPr>
            <w:tcW w:w="1402" w:type="dxa"/>
          </w:tcPr>
          <w:p w14:paraId="6327F816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5.11</w:t>
            </w:r>
          </w:p>
        </w:tc>
        <w:tc>
          <w:tcPr>
            <w:tcW w:w="2823" w:type="dxa"/>
          </w:tcPr>
          <w:p w14:paraId="0F65427B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Moisture content</w:t>
            </w:r>
          </w:p>
        </w:tc>
        <w:tc>
          <w:tcPr>
            <w:tcW w:w="3690" w:type="dxa"/>
          </w:tcPr>
          <w:p w14:paraId="3AB41E08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Moisture content</w:t>
            </w:r>
          </w:p>
        </w:tc>
        <w:tc>
          <w:tcPr>
            <w:tcW w:w="1710" w:type="dxa"/>
          </w:tcPr>
          <w:p w14:paraId="2AF0FF56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3CBB570D" w14:textId="77777777" w:rsidTr="005A0C52">
        <w:tc>
          <w:tcPr>
            <w:tcW w:w="1402" w:type="dxa"/>
          </w:tcPr>
          <w:p w14:paraId="25F0A57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5.12</w:t>
            </w:r>
          </w:p>
        </w:tc>
        <w:tc>
          <w:tcPr>
            <w:tcW w:w="2823" w:type="dxa"/>
          </w:tcPr>
          <w:p w14:paraId="1C08D37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9A58B7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Loading or packing</w:t>
            </w:r>
          </w:p>
        </w:tc>
        <w:tc>
          <w:tcPr>
            <w:tcW w:w="1710" w:type="dxa"/>
          </w:tcPr>
          <w:p w14:paraId="7EE545F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5D86EB93" w14:textId="77777777" w:rsidTr="005A0C52">
        <w:tc>
          <w:tcPr>
            <w:tcW w:w="1402" w:type="dxa"/>
          </w:tcPr>
          <w:p w14:paraId="7A075AAC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6.0</w:t>
            </w:r>
          </w:p>
        </w:tc>
        <w:tc>
          <w:tcPr>
            <w:tcW w:w="2823" w:type="dxa"/>
          </w:tcPr>
          <w:p w14:paraId="072E673B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Specimen preparation and testing</w:t>
            </w:r>
          </w:p>
        </w:tc>
        <w:tc>
          <w:tcPr>
            <w:tcW w:w="3690" w:type="dxa"/>
          </w:tcPr>
          <w:p w14:paraId="1A3B07E5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5AA9E47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56DB5E10" w14:textId="77777777" w:rsidTr="005A0C52">
        <w:tc>
          <w:tcPr>
            <w:tcW w:w="1402" w:type="dxa"/>
          </w:tcPr>
          <w:p w14:paraId="1C0841D1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7.0</w:t>
            </w:r>
          </w:p>
        </w:tc>
        <w:tc>
          <w:tcPr>
            <w:tcW w:w="2823" w:type="dxa"/>
          </w:tcPr>
          <w:p w14:paraId="03D1B97C" w14:textId="77777777" w:rsidR="00750497" w:rsidRPr="00E5558C" w:rsidRDefault="00750497" w:rsidP="005A0C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FC5734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 xml:space="preserve">Grade marking </w:t>
            </w:r>
          </w:p>
        </w:tc>
        <w:tc>
          <w:tcPr>
            <w:tcW w:w="1710" w:type="dxa"/>
          </w:tcPr>
          <w:p w14:paraId="74E38111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747F28CD" w14:textId="77777777" w:rsidTr="005A0C52">
        <w:tc>
          <w:tcPr>
            <w:tcW w:w="1402" w:type="dxa"/>
          </w:tcPr>
          <w:p w14:paraId="38B4737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Appendix A (Mandatory)</w:t>
            </w:r>
          </w:p>
        </w:tc>
        <w:tc>
          <w:tcPr>
            <w:tcW w:w="2823" w:type="dxa"/>
          </w:tcPr>
          <w:p w14:paraId="7DBD718A" w14:textId="77777777" w:rsidR="00750497" w:rsidRPr="00E5558C" w:rsidRDefault="00750497" w:rsidP="005A0C52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7B9C3E0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Species grouping</w:t>
            </w:r>
          </w:p>
        </w:tc>
        <w:tc>
          <w:tcPr>
            <w:tcW w:w="1710" w:type="dxa"/>
          </w:tcPr>
          <w:p w14:paraId="5C9C553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0958270E" w14:textId="77777777" w:rsidTr="005A0C52">
        <w:tc>
          <w:tcPr>
            <w:tcW w:w="1402" w:type="dxa"/>
          </w:tcPr>
          <w:p w14:paraId="4D4D3549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 xml:space="preserve">Appendix B </w:t>
            </w:r>
          </w:p>
        </w:tc>
        <w:tc>
          <w:tcPr>
            <w:tcW w:w="2823" w:type="dxa"/>
          </w:tcPr>
          <w:p w14:paraId="26021241" w14:textId="77777777" w:rsidR="00750497" w:rsidRPr="00E5558C" w:rsidRDefault="00750497" w:rsidP="005A0C5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0" w:type="dxa"/>
          </w:tcPr>
          <w:p w14:paraId="38830E3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>Reinspection Practices (nonmandatory)</w:t>
            </w:r>
          </w:p>
        </w:tc>
        <w:tc>
          <w:tcPr>
            <w:tcW w:w="1710" w:type="dxa"/>
          </w:tcPr>
          <w:p w14:paraId="16C4720D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750497" w:rsidRPr="00F82FE7" w14:paraId="54CDFC69" w14:textId="77777777" w:rsidTr="005A0C52">
        <w:tc>
          <w:tcPr>
            <w:tcW w:w="1402" w:type="dxa"/>
          </w:tcPr>
          <w:p w14:paraId="15DEFEC2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Appendix D</w:t>
            </w:r>
          </w:p>
        </w:tc>
        <w:tc>
          <w:tcPr>
            <w:tcW w:w="2823" w:type="dxa"/>
          </w:tcPr>
          <w:p w14:paraId="26E01492" w14:textId="77777777" w:rsidR="00750497" w:rsidRPr="00E5558C" w:rsidRDefault="00750497" w:rsidP="005A0C5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0" w:type="dxa"/>
          </w:tcPr>
          <w:p w14:paraId="7D81F270" w14:textId="77777777" w:rsidR="00750497" w:rsidRPr="00E5558C" w:rsidRDefault="00750497" w:rsidP="005A0C52">
            <w:pPr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  <w:bCs/>
              </w:rPr>
              <w:t xml:space="preserve">Recommended practices </w:t>
            </w:r>
          </w:p>
          <w:p w14:paraId="7D3EA4E0" w14:textId="77777777" w:rsidR="00750497" w:rsidRPr="00E5558C" w:rsidRDefault="00750497" w:rsidP="005A0C52">
            <w:pPr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</w:rPr>
              <w:t>(nonmandatory)</w:t>
            </w:r>
          </w:p>
        </w:tc>
        <w:tc>
          <w:tcPr>
            <w:tcW w:w="1710" w:type="dxa"/>
          </w:tcPr>
          <w:p w14:paraId="67481EAF" w14:textId="77777777" w:rsidR="00750497" w:rsidRPr="00E5558C" w:rsidRDefault="00750497" w:rsidP="005A0C52">
            <w:pPr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</w:tbl>
    <w:p w14:paraId="329D24CA" w14:textId="50AA7CC6" w:rsidR="005C7128" w:rsidRDefault="005C7128" w:rsidP="005C7128">
      <w:pPr>
        <w:spacing w:after="120" w:line="276" w:lineRule="auto"/>
        <w:rPr>
          <w:rFonts w:ascii="Arial" w:hAnsi="Arial" w:cs="Arial"/>
          <w:b/>
        </w:rPr>
      </w:pPr>
    </w:p>
    <w:p w14:paraId="3781A3C1" w14:textId="0373E534" w:rsidR="00E5558C" w:rsidRDefault="00E5558C" w:rsidP="005C7128">
      <w:pPr>
        <w:spacing w:after="120" w:line="276" w:lineRule="auto"/>
        <w:rPr>
          <w:rFonts w:ascii="Arial" w:hAnsi="Arial" w:cs="Arial"/>
          <w:b/>
        </w:rPr>
      </w:pPr>
    </w:p>
    <w:p w14:paraId="102CB750" w14:textId="77777777" w:rsidR="00E5558C" w:rsidRDefault="00E5558C" w:rsidP="005C7128">
      <w:pPr>
        <w:spacing w:after="120" w:line="276" w:lineRule="auto"/>
        <w:rPr>
          <w:rFonts w:ascii="Arial" w:hAnsi="Arial" w:cs="Arial"/>
          <w:b/>
        </w:rPr>
      </w:pPr>
    </w:p>
    <w:p w14:paraId="18A97DE5" w14:textId="743066AA" w:rsidR="00C3163B" w:rsidRPr="00BD04E2" w:rsidRDefault="00E5558C" w:rsidP="00BD04E2">
      <w:pPr>
        <w:spacing w:after="120" w:line="276" w:lineRule="auto"/>
        <w:rPr>
          <w:rFonts w:ascii="Arial" w:hAnsi="Arial" w:cs="Arial"/>
          <w:b/>
        </w:rPr>
      </w:pPr>
      <w:r w:rsidRPr="00E62342">
        <w:rPr>
          <w:rFonts w:ascii="Arial" w:hAnsi="Arial" w:cs="Arial"/>
          <w:b/>
          <w:bCs/>
          <w:sz w:val="24"/>
          <w:szCs w:val="24"/>
        </w:rPr>
        <w:lastRenderedPageBreak/>
        <w:t>Appendix 2</w:t>
      </w:r>
    </w:p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1806"/>
        <w:gridCol w:w="2883"/>
        <w:gridCol w:w="3235"/>
        <w:gridCol w:w="1426"/>
      </w:tblGrid>
      <w:tr w:rsidR="00D341B3" w:rsidRPr="00C3163B" w14:paraId="5C02F79E" w14:textId="77777777" w:rsidTr="00D341B3">
        <w:trPr>
          <w:trHeight w:val="443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584EA453" w14:textId="77777777" w:rsidR="00D341B3" w:rsidRPr="00D341B3" w:rsidRDefault="00D341B3" w:rsidP="00D341B3">
            <w:pPr>
              <w:spacing w:after="12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D341B3">
              <w:rPr>
                <w:rFonts w:ascii="Arial" w:hAnsi="Arial" w:cs="Arial"/>
                <w:b/>
                <w:color w:val="538135" w:themeColor="accent6" w:themeShade="BF"/>
                <w:sz w:val="36"/>
                <w:szCs w:val="36"/>
              </w:rPr>
              <w:t>PS2-18 Standard – TL, AA, and PCA specifics</w:t>
            </w:r>
          </w:p>
        </w:tc>
      </w:tr>
      <w:tr w:rsidR="00D341B3" w:rsidRPr="00C3163B" w14:paraId="2E91CD0C" w14:textId="77777777" w:rsidTr="00D341B3">
        <w:tc>
          <w:tcPr>
            <w:tcW w:w="1806" w:type="dxa"/>
            <w:shd w:val="clear" w:color="auto" w:fill="BFBFBF" w:themeFill="background1" w:themeFillShade="BF"/>
          </w:tcPr>
          <w:p w14:paraId="78E23EB6" w14:textId="77777777" w:rsidR="00D341B3" w:rsidRPr="00D341B3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3">
              <w:rPr>
                <w:rFonts w:ascii="Arial" w:hAnsi="Arial" w:cs="Arial"/>
                <w:b/>
                <w:sz w:val="24"/>
                <w:szCs w:val="24"/>
              </w:rPr>
              <w:t>Clauses</w:t>
            </w:r>
          </w:p>
        </w:tc>
        <w:tc>
          <w:tcPr>
            <w:tcW w:w="2883" w:type="dxa"/>
            <w:shd w:val="clear" w:color="auto" w:fill="BFBFBF" w:themeFill="background1" w:themeFillShade="BF"/>
          </w:tcPr>
          <w:p w14:paraId="1A8CD5EA" w14:textId="77777777" w:rsidR="00D341B3" w:rsidRPr="00D341B3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3">
              <w:rPr>
                <w:rFonts w:ascii="Arial" w:hAnsi="Arial" w:cs="Arial"/>
                <w:b/>
                <w:sz w:val="24"/>
                <w:szCs w:val="24"/>
              </w:rPr>
              <w:t>TL Specific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7F726FC" w14:textId="77777777" w:rsidR="00D341B3" w:rsidRPr="00D341B3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3">
              <w:rPr>
                <w:rFonts w:ascii="Arial" w:hAnsi="Arial" w:cs="Arial"/>
                <w:b/>
                <w:sz w:val="24"/>
                <w:szCs w:val="24"/>
              </w:rPr>
              <w:t>AA Specific</w:t>
            </w:r>
          </w:p>
        </w:tc>
        <w:tc>
          <w:tcPr>
            <w:tcW w:w="1426" w:type="dxa"/>
            <w:shd w:val="clear" w:color="auto" w:fill="BFBFBF" w:themeFill="background1" w:themeFillShade="BF"/>
          </w:tcPr>
          <w:p w14:paraId="4F9F5522" w14:textId="77777777" w:rsidR="00D341B3" w:rsidRPr="00D341B3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1B3">
              <w:rPr>
                <w:rFonts w:ascii="Arial" w:hAnsi="Arial" w:cs="Arial"/>
                <w:b/>
                <w:sz w:val="24"/>
                <w:szCs w:val="24"/>
              </w:rPr>
              <w:t>PCA Specific</w:t>
            </w:r>
          </w:p>
        </w:tc>
      </w:tr>
      <w:tr w:rsidR="00D341B3" w:rsidRPr="00C3163B" w14:paraId="5D01071D" w14:textId="77777777" w:rsidTr="00D341B3">
        <w:tc>
          <w:tcPr>
            <w:tcW w:w="1806" w:type="dxa"/>
            <w:shd w:val="clear" w:color="auto" w:fill="auto"/>
          </w:tcPr>
          <w:p w14:paraId="2A741B14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5.2</w:t>
            </w:r>
          </w:p>
        </w:tc>
        <w:tc>
          <w:tcPr>
            <w:tcW w:w="2883" w:type="dxa"/>
            <w:shd w:val="clear" w:color="auto" w:fill="auto"/>
          </w:tcPr>
          <w:p w14:paraId="433FA050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235" w:type="dxa"/>
            <w:shd w:val="clear" w:color="auto" w:fill="auto"/>
          </w:tcPr>
          <w:p w14:paraId="7AF5F2ED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>General requirements</w:t>
            </w:r>
          </w:p>
        </w:tc>
        <w:tc>
          <w:tcPr>
            <w:tcW w:w="1426" w:type="dxa"/>
            <w:shd w:val="clear" w:color="auto" w:fill="auto"/>
          </w:tcPr>
          <w:p w14:paraId="48757472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07F638CE" w14:textId="77777777" w:rsidTr="00D341B3">
        <w:tc>
          <w:tcPr>
            <w:tcW w:w="1806" w:type="dxa"/>
            <w:shd w:val="clear" w:color="auto" w:fill="auto"/>
          </w:tcPr>
          <w:p w14:paraId="0B7ACB3D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5.3</w:t>
            </w:r>
          </w:p>
        </w:tc>
        <w:tc>
          <w:tcPr>
            <w:tcW w:w="2883" w:type="dxa"/>
            <w:shd w:val="clear" w:color="auto" w:fill="auto"/>
          </w:tcPr>
          <w:p w14:paraId="00D3A5A0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Performance requirements</w:t>
            </w:r>
          </w:p>
        </w:tc>
        <w:tc>
          <w:tcPr>
            <w:tcW w:w="3235" w:type="dxa"/>
            <w:shd w:val="clear" w:color="auto" w:fill="auto"/>
          </w:tcPr>
          <w:p w14:paraId="5285A305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shd w:val="clear" w:color="auto" w:fill="auto"/>
          </w:tcPr>
          <w:p w14:paraId="6BCBE3FC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6A33648E" w14:textId="77777777" w:rsidTr="00D341B3">
        <w:tc>
          <w:tcPr>
            <w:tcW w:w="1806" w:type="dxa"/>
            <w:shd w:val="clear" w:color="auto" w:fill="auto"/>
          </w:tcPr>
          <w:p w14:paraId="0BEDECDD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5.4</w:t>
            </w:r>
          </w:p>
        </w:tc>
        <w:tc>
          <w:tcPr>
            <w:tcW w:w="2883" w:type="dxa"/>
            <w:shd w:val="clear" w:color="auto" w:fill="auto"/>
          </w:tcPr>
          <w:p w14:paraId="41A48C56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Moisture content</w:t>
            </w:r>
          </w:p>
        </w:tc>
        <w:tc>
          <w:tcPr>
            <w:tcW w:w="3235" w:type="dxa"/>
            <w:shd w:val="clear" w:color="auto" w:fill="auto"/>
          </w:tcPr>
          <w:p w14:paraId="60A8A5F8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  <w:bCs/>
              </w:rPr>
              <w:t>Moisture content</w:t>
            </w:r>
          </w:p>
        </w:tc>
        <w:tc>
          <w:tcPr>
            <w:tcW w:w="1426" w:type="dxa"/>
            <w:shd w:val="clear" w:color="auto" w:fill="auto"/>
          </w:tcPr>
          <w:p w14:paraId="40F3F60F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7780FBA3" w14:textId="77777777" w:rsidTr="00D341B3">
        <w:tc>
          <w:tcPr>
            <w:tcW w:w="1806" w:type="dxa"/>
            <w:shd w:val="clear" w:color="auto" w:fill="auto"/>
          </w:tcPr>
          <w:p w14:paraId="50A583E3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6.0</w:t>
            </w:r>
          </w:p>
        </w:tc>
        <w:tc>
          <w:tcPr>
            <w:tcW w:w="2883" w:type="dxa"/>
            <w:shd w:val="clear" w:color="auto" w:fill="auto"/>
          </w:tcPr>
          <w:p w14:paraId="78C16F4E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Qualification testing and mill specification</w:t>
            </w:r>
          </w:p>
        </w:tc>
        <w:tc>
          <w:tcPr>
            <w:tcW w:w="3235" w:type="dxa"/>
            <w:shd w:val="clear" w:color="auto" w:fill="auto"/>
          </w:tcPr>
          <w:p w14:paraId="2FD80D5B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  <w:bCs/>
              </w:rPr>
              <w:t>6.3.2 (Mechanical properties), 6.3.3 (Physical properties),</w:t>
            </w:r>
          </w:p>
          <w:p w14:paraId="0E852604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  <w:bCs/>
              </w:rPr>
              <w:t>6.3.4 (adhesive bond properties)</w:t>
            </w:r>
          </w:p>
        </w:tc>
        <w:tc>
          <w:tcPr>
            <w:tcW w:w="1426" w:type="dxa"/>
            <w:shd w:val="clear" w:color="auto" w:fill="auto"/>
          </w:tcPr>
          <w:p w14:paraId="251025A5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46845F93" w14:textId="77777777" w:rsidTr="00D341B3">
        <w:tc>
          <w:tcPr>
            <w:tcW w:w="1806" w:type="dxa"/>
            <w:shd w:val="clear" w:color="auto" w:fill="auto"/>
          </w:tcPr>
          <w:p w14:paraId="2A428E1C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7.0</w:t>
            </w:r>
          </w:p>
        </w:tc>
        <w:tc>
          <w:tcPr>
            <w:tcW w:w="2883" w:type="dxa"/>
            <w:shd w:val="clear" w:color="auto" w:fill="auto"/>
          </w:tcPr>
          <w:p w14:paraId="56527F3E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Test methods</w:t>
            </w:r>
          </w:p>
        </w:tc>
        <w:tc>
          <w:tcPr>
            <w:tcW w:w="3235" w:type="dxa"/>
            <w:shd w:val="clear" w:color="auto" w:fill="auto"/>
          </w:tcPr>
          <w:p w14:paraId="35E85AC5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426" w:type="dxa"/>
            <w:shd w:val="clear" w:color="auto" w:fill="auto"/>
          </w:tcPr>
          <w:p w14:paraId="2DEF0AF7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785FAE1E" w14:textId="77777777" w:rsidTr="00D341B3">
        <w:tc>
          <w:tcPr>
            <w:tcW w:w="1806" w:type="dxa"/>
            <w:shd w:val="clear" w:color="auto" w:fill="auto"/>
          </w:tcPr>
          <w:p w14:paraId="5F536CEE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8.0</w:t>
            </w:r>
          </w:p>
        </w:tc>
        <w:tc>
          <w:tcPr>
            <w:tcW w:w="2883" w:type="dxa"/>
            <w:shd w:val="clear" w:color="auto" w:fill="auto"/>
          </w:tcPr>
          <w:p w14:paraId="1E86E132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235" w:type="dxa"/>
            <w:shd w:val="clear" w:color="auto" w:fill="auto"/>
          </w:tcPr>
          <w:p w14:paraId="377A02DF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  <w:bCs/>
              </w:rPr>
              <w:t>Trade marking</w:t>
            </w:r>
          </w:p>
        </w:tc>
        <w:tc>
          <w:tcPr>
            <w:tcW w:w="1426" w:type="dxa"/>
            <w:shd w:val="clear" w:color="auto" w:fill="auto"/>
          </w:tcPr>
          <w:p w14:paraId="5ECCF855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4EBC1E51" w14:textId="77777777" w:rsidTr="00D341B3">
        <w:tc>
          <w:tcPr>
            <w:tcW w:w="1806" w:type="dxa"/>
            <w:shd w:val="clear" w:color="auto" w:fill="auto"/>
          </w:tcPr>
          <w:p w14:paraId="09A79B8E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  <w:color w:val="000000"/>
              </w:rPr>
              <w:t>Appendix A. (Nonmandatory)</w:t>
            </w:r>
          </w:p>
        </w:tc>
        <w:tc>
          <w:tcPr>
            <w:tcW w:w="2883" w:type="dxa"/>
            <w:shd w:val="clear" w:color="auto" w:fill="auto"/>
          </w:tcPr>
          <w:p w14:paraId="7E07445D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235" w:type="dxa"/>
            <w:shd w:val="clear" w:color="auto" w:fill="auto"/>
          </w:tcPr>
          <w:p w14:paraId="77D6A34F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E5558C">
              <w:rPr>
                <w:rFonts w:ascii="Arial" w:hAnsi="Arial" w:cs="Arial"/>
              </w:rPr>
              <w:t>Shipment Reinspection Practices</w:t>
            </w:r>
          </w:p>
        </w:tc>
        <w:tc>
          <w:tcPr>
            <w:tcW w:w="1426" w:type="dxa"/>
            <w:shd w:val="clear" w:color="auto" w:fill="auto"/>
          </w:tcPr>
          <w:p w14:paraId="004413E6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  <w:tr w:rsidR="00D341B3" w:rsidRPr="00C3163B" w14:paraId="02E58A01" w14:textId="77777777" w:rsidTr="00D341B3">
        <w:tc>
          <w:tcPr>
            <w:tcW w:w="1806" w:type="dxa"/>
          </w:tcPr>
          <w:p w14:paraId="21E3F95F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  <w:bCs/>
              </w:rPr>
              <w:t>Appendix B. (Nonmandatory)</w:t>
            </w:r>
          </w:p>
        </w:tc>
        <w:tc>
          <w:tcPr>
            <w:tcW w:w="2883" w:type="dxa"/>
          </w:tcPr>
          <w:p w14:paraId="41E2819C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29931E2E" w14:textId="77777777" w:rsidR="00D341B3" w:rsidRPr="00E5558C" w:rsidRDefault="00D341B3" w:rsidP="00D341B3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426" w:type="dxa"/>
          </w:tcPr>
          <w:p w14:paraId="0BF9A2C1" w14:textId="77777777" w:rsidR="00D341B3" w:rsidRPr="00E5558C" w:rsidRDefault="00D341B3" w:rsidP="00D341B3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E5558C">
              <w:rPr>
                <w:rFonts w:ascii="Arial" w:hAnsi="Arial" w:cs="Arial"/>
              </w:rPr>
              <w:t>Applicable</w:t>
            </w:r>
          </w:p>
        </w:tc>
      </w:tr>
    </w:tbl>
    <w:p w14:paraId="5249AAF9" w14:textId="775872DA" w:rsidR="00C3163B" w:rsidRDefault="00C3163B" w:rsidP="00C3163B">
      <w:pPr>
        <w:spacing w:after="120" w:line="276" w:lineRule="auto"/>
        <w:rPr>
          <w:rFonts w:ascii="Arial" w:hAnsi="Arial" w:cs="Arial"/>
        </w:rPr>
      </w:pPr>
    </w:p>
    <w:p w14:paraId="173B1ADF" w14:textId="51829249" w:rsidR="00750497" w:rsidRDefault="00750497" w:rsidP="00C3163B">
      <w:pPr>
        <w:spacing w:after="120" w:line="276" w:lineRule="auto"/>
        <w:rPr>
          <w:rFonts w:ascii="Arial" w:hAnsi="Arial" w:cs="Arial"/>
        </w:rPr>
      </w:pPr>
    </w:p>
    <w:p w14:paraId="1932D9FB" w14:textId="4EE13565" w:rsidR="00750497" w:rsidRDefault="00750497" w:rsidP="00C3163B">
      <w:pPr>
        <w:spacing w:after="120" w:line="276" w:lineRule="auto"/>
        <w:rPr>
          <w:rFonts w:ascii="Arial" w:hAnsi="Arial" w:cs="Arial"/>
        </w:rPr>
      </w:pPr>
    </w:p>
    <w:p w14:paraId="30CA3AE9" w14:textId="5942C09A" w:rsidR="00750497" w:rsidRDefault="00750497" w:rsidP="00C3163B">
      <w:pPr>
        <w:spacing w:after="120" w:line="276" w:lineRule="auto"/>
        <w:rPr>
          <w:rFonts w:ascii="Arial" w:hAnsi="Arial" w:cs="Arial"/>
        </w:rPr>
      </w:pPr>
    </w:p>
    <w:p w14:paraId="70E3CA7B" w14:textId="77777777" w:rsidR="00750497" w:rsidRPr="00E62342" w:rsidRDefault="00750497" w:rsidP="00C3163B">
      <w:pPr>
        <w:spacing w:after="120" w:line="276" w:lineRule="auto"/>
        <w:rPr>
          <w:rFonts w:ascii="Arial" w:hAnsi="Arial" w:cs="Arial"/>
        </w:rPr>
      </w:pPr>
    </w:p>
    <w:p w14:paraId="6F3104CC" w14:textId="43A31588" w:rsidR="00C3163B" w:rsidRPr="00E62342" w:rsidRDefault="00C3163B" w:rsidP="00C3163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747BEA1" w14:textId="77777777" w:rsidR="00C3163B" w:rsidRPr="00E62342" w:rsidRDefault="00C3163B" w:rsidP="00C3163B">
      <w:pPr>
        <w:spacing w:after="120" w:line="276" w:lineRule="auto"/>
        <w:rPr>
          <w:rFonts w:ascii="Arial" w:hAnsi="Arial" w:cs="Arial"/>
        </w:rPr>
      </w:pPr>
    </w:p>
    <w:p w14:paraId="434587DA" w14:textId="5D79A1A4" w:rsidR="005A42C7" w:rsidRPr="00BD04E2" w:rsidRDefault="005A42C7" w:rsidP="00BD04E2">
      <w:pPr>
        <w:spacing w:after="120" w:line="276" w:lineRule="auto"/>
        <w:rPr>
          <w:rFonts w:ascii="Arial" w:hAnsi="Arial" w:cs="Arial"/>
        </w:rPr>
      </w:pPr>
    </w:p>
    <w:p w14:paraId="1E3AFC8D" w14:textId="062E24D8" w:rsidR="00050949" w:rsidRPr="00BD04E2" w:rsidRDefault="00050949" w:rsidP="00BD04E2">
      <w:pPr>
        <w:spacing w:after="120" w:line="276" w:lineRule="auto"/>
        <w:rPr>
          <w:rFonts w:ascii="Arial" w:hAnsi="Arial" w:cs="Arial"/>
        </w:rPr>
      </w:pPr>
    </w:p>
    <w:p w14:paraId="33481802" w14:textId="77777777" w:rsidR="00050949" w:rsidRPr="00BD04E2" w:rsidRDefault="00050949" w:rsidP="00BD04E2">
      <w:pPr>
        <w:spacing w:after="120" w:line="276" w:lineRule="auto"/>
        <w:rPr>
          <w:rFonts w:ascii="Arial" w:hAnsi="Arial" w:cs="Arial"/>
        </w:rPr>
      </w:pPr>
      <w:r w:rsidRPr="00BD04E2">
        <w:rPr>
          <w:rFonts w:ascii="Arial" w:hAnsi="Arial" w:cs="Arial"/>
        </w:rPr>
        <w:br w:type="page"/>
      </w:r>
    </w:p>
    <w:p w14:paraId="4CFC3B41" w14:textId="77777777" w:rsidR="00C3163B" w:rsidRDefault="00C3163B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0A584F48" w14:textId="28EED4D2" w:rsidR="005C7128" w:rsidRPr="00BD04E2" w:rsidRDefault="00050949" w:rsidP="00BD04E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BD04E2">
        <w:rPr>
          <w:rFonts w:ascii="Arial" w:hAnsi="Arial" w:cs="Arial"/>
          <w:b/>
          <w:sz w:val="24"/>
          <w:szCs w:val="24"/>
        </w:rPr>
        <w:t>Appendix 3</w:t>
      </w:r>
    </w:p>
    <w:p w14:paraId="0B7EC395" w14:textId="190C38D4" w:rsidR="00050949" w:rsidRPr="00D341B3" w:rsidRDefault="00050949" w:rsidP="00BD04E2">
      <w:pPr>
        <w:spacing w:after="120" w:line="276" w:lineRule="auto"/>
        <w:rPr>
          <w:rFonts w:ascii="Arial" w:eastAsia="Times New Roman" w:hAnsi="Arial" w:cs="Arial"/>
          <w:color w:val="538135" w:themeColor="accent6" w:themeShade="BF"/>
          <w:sz w:val="36"/>
          <w:szCs w:val="36"/>
        </w:rPr>
      </w:pPr>
      <w:r w:rsidRPr="00D341B3">
        <w:rPr>
          <w:rFonts w:ascii="Arial" w:hAnsi="Arial" w:cs="Arial"/>
          <w:b/>
          <w:color w:val="538135" w:themeColor="accent6" w:themeShade="BF"/>
          <w:sz w:val="36"/>
          <w:szCs w:val="36"/>
        </w:rPr>
        <w:t>List of Applicable EU directives/regulations</w:t>
      </w:r>
    </w:p>
    <w:p w14:paraId="729C8918" w14:textId="3DC5D716" w:rsidR="00050949" w:rsidRPr="00E5558C" w:rsidRDefault="00050949" w:rsidP="00BD04E2">
      <w:pPr>
        <w:spacing w:line="276" w:lineRule="auto"/>
        <w:jc w:val="both"/>
        <w:rPr>
          <w:rFonts w:ascii="Arial" w:hAnsi="Arial" w:cs="Arial"/>
        </w:rPr>
      </w:pPr>
      <w:r w:rsidRPr="00E5558C">
        <w:rPr>
          <w:rFonts w:ascii="Arial" w:hAnsi="Arial" w:cs="Arial"/>
        </w:rPr>
        <w:t xml:space="preserve">This guidance is applicable </w:t>
      </w:r>
      <w:r w:rsidR="00A87432" w:rsidRPr="00E5558C">
        <w:rPr>
          <w:rFonts w:ascii="Arial" w:hAnsi="Arial" w:cs="Arial"/>
        </w:rPr>
        <w:t xml:space="preserve">to </w:t>
      </w:r>
      <w:r w:rsidRPr="00E5558C">
        <w:rPr>
          <w:rFonts w:ascii="Arial" w:hAnsi="Arial" w:cs="Arial"/>
        </w:rPr>
        <w:t>Directives or Regulations. Please find below a relevant list of the directives and regulations (European Union directives/regulations that require the affixing of a CE mark to the products cover</w:t>
      </w:r>
      <w:r w:rsidR="00A87432" w:rsidRPr="00E5558C">
        <w:rPr>
          <w:rFonts w:ascii="Arial" w:hAnsi="Arial" w:cs="Arial"/>
        </w:rPr>
        <w:t>ed</w:t>
      </w:r>
      <w:r w:rsidRPr="00E5558C">
        <w:rPr>
          <w:rFonts w:ascii="Arial" w:hAnsi="Arial" w:cs="Arial"/>
        </w:rPr>
        <w:t xml:space="preserve"> by them). EU </w:t>
      </w:r>
      <w:r w:rsidR="00764EB7" w:rsidRPr="00E5558C">
        <w:rPr>
          <w:rFonts w:ascii="Arial" w:hAnsi="Arial" w:cs="Arial"/>
        </w:rPr>
        <w:t>directives/regulations usually refer</w:t>
      </w:r>
      <w:r w:rsidR="00645851" w:rsidRPr="00E5558C">
        <w:rPr>
          <w:rFonts w:ascii="Arial" w:hAnsi="Arial" w:cs="Arial"/>
        </w:rPr>
        <w:t xml:space="preserve"> </w:t>
      </w:r>
      <w:r w:rsidR="00764EB7" w:rsidRPr="00E5558C">
        <w:rPr>
          <w:rFonts w:ascii="Arial" w:hAnsi="Arial" w:cs="Arial"/>
        </w:rPr>
        <w:t xml:space="preserve">to many EU standards. It is therefore essential to check each directive/regulation before defining the exact scope of accreditation and the applicable accreditation </w:t>
      </w:r>
      <w:r w:rsidR="005C7128" w:rsidRPr="00E5558C">
        <w:rPr>
          <w:rFonts w:ascii="Arial" w:hAnsi="Arial" w:cs="Arial"/>
        </w:rPr>
        <w:t>standards</w:t>
      </w:r>
      <w:r w:rsidR="00764EB7" w:rsidRPr="00E5558C">
        <w:rPr>
          <w:rFonts w:ascii="Arial" w:hAnsi="Arial" w:cs="Arial"/>
        </w:rPr>
        <w:t>.</w:t>
      </w:r>
    </w:p>
    <w:p w14:paraId="7A446436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Machinery Directive – 2006/42/EC</w:t>
      </w:r>
    </w:p>
    <w:p w14:paraId="2CC56D9F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Low Voltage Directive – 2014/35/EU</w:t>
      </w:r>
    </w:p>
    <w:p w14:paraId="2D0B25EF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EMC Directive – 2014/30/EU</w:t>
      </w:r>
    </w:p>
    <w:p w14:paraId="1FBB0C01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Medical Devices Directive – 93/42/EEC</w:t>
      </w:r>
    </w:p>
    <w:p w14:paraId="65C85575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Personal Protective Equipment Directive – 89/686/EEC (as of 21 April 2018 replaced by the Personal Protective Equipment Regulation (Regulation (EU) 2016/425)</w:t>
      </w:r>
    </w:p>
    <w:p w14:paraId="51835433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Construction Products Regulation – Regulation (EU) No 305/2011</w:t>
      </w:r>
    </w:p>
    <w:p w14:paraId="36421B8B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Pressure Equipment Directive – 2014/68/EU</w:t>
      </w:r>
    </w:p>
    <w:p w14:paraId="2127765E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REACH – Regulation (EC) No 1907/2006</w:t>
      </w:r>
    </w:p>
    <w:p w14:paraId="01F4C9F2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RoHS – Restriction of Hazardous Substances – Directive – 2011/65/EU</w:t>
      </w:r>
    </w:p>
    <w:p w14:paraId="26F3FB91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Waste Electrical and Electronic Equipment Directive – 2012/19/EU</w:t>
      </w:r>
    </w:p>
    <w:p w14:paraId="7906BB6C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ATEX Directive – 2014/34/EU</w:t>
      </w:r>
    </w:p>
    <w:p w14:paraId="12511599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Toy Directive – 2009/48/EU</w:t>
      </w:r>
    </w:p>
    <w:p w14:paraId="4BB64FB2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Radio Equipment Directive – 2014/53/EU</w:t>
      </w:r>
    </w:p>
    <w:p w14:paraId="2C1C3396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Recreational Craft Directive – 2013/53/EU</w:t>
      </w:r>
    </w:p>
    <w:p w14:paraId="50F3C5C0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Active Implantable Medical Devices Directive – 90/385/EEC</w:t>
      </w:r>
    </w:p>
    <w:p w14:paraId="32F642CC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Explosive for Civil Use Directive – 93/15/EEC</w:t>
      </w:r>
    </w:p>
    <w:p w14:paraId="2C6D631A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Noise Emission in the Environment Directive – 2000/14/EC</w:t>
      </w:r>
    </w:p>
    <w:p w14:paraId="7B7FB1DC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Gas Appliances Directive – 2009/142/EC</w:t>
      </w:r>
    </w:p>
    <w:p w14:paraId="6CD747D2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Lifts Directive – 2014/33/EU</w:t>
      </w:r>
    </w:p>
    <w:p w14:paraId="19EB29B8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Pyrotechnic Directive – 2007/23/EC</w:t>
      </w:r>
    </w:p>
    <w:p w14:paraId="6DAC3701" w14:textId="77777777" w:rsidR="00050949" w:rsidRPr="00E5558C" w:rsidRDefault="00050949" w:rsidP="00E555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5558C">
        <w:rPr>
          <w:rFonts w:ascii="Arial" w:hAnsi="Arial" w:cs="Arial"/>
        </w:rPr>
        <w:t>Measuring Instruments Directive – 2004/22/EC</w:t>
      </w:r>
    </w:p>
    <w:sectPr w:rsidR="00050949" w:rsidRPr="00E5558C" w:rsidSect="00BD04E2">
      <w:footerReference w:type="default" r:id="rId11"/>
      <w:pgSz w:w="12240" w:h="15840"/>
      <w:pgMar w:top="72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EB128" w14:textId="77777777" w:rsidR="00D06FA3" w:rsidRDefault="00D06FA3" w:rsidP="005C7128">
      <w:pPr>
        <w:spacing w:after="0" w:line="240" w:lineRule="auto"/>
      </w:pPr>
      <w:r>
        <w:separator/>
      </w:r>
    </w:p>
  </w:endnote>
  <w:endnote w:type="continuationSeparator" w:id="0">
    <w:p w14:paraId="6E7C0E2F" w14:textId="77777777" w:rsidR="00D06FA3" w:rsidRDefault="00D06FA3" w:rsidP="005C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BD21F" w14:textId="3636D54B" w:rsidR="003911AD" w:rsidRDefault="003911AD">
    <w:pPr>
      <w:pStyle w:val="Footer"/>
      <w:jc w:val="right"/>
    </w:pPr>
    <w:r>
      <w:t>IAS/</w:t>
    </w:r>
    <w:r w:rsidR="00B40577">
      <w:t>TL-AA-PCA/</w:t>
    </w:r>
    <w:r w:rsidR="00105AD5">
      <w:t>058</w:t>
    </w:r>
  </w:p>
  <w:p w14:paraId="0253FF00" w14:textId="4BE17B08" w:rsidR="00E71191" w:rsidRDefault="00105AD5">
    <w:pPr>
      <w:pStyle w:val="Footer"/>
      <w:jc w:val="right"/>
    </w:pPr>
    <w:r>
      <w:t xml:space="preserve">DRAFT for Review - </w:t>
    </w:r>
    <w:r w:rsidR="00B40577">
      <w:t>September 10, 2020</w:t>
    </w:r>
  </w:p>
  <w:p w14:paraId="2CD72E72" w14:textId="55644265" w:rsidR="003911AD" w:rsidRDefault="00105AD5">
    <w:pPr>
      <w:pStyle w:val="Footer"/>
      <w:jc w:val="right"/>
    </w:pPr>
    <w:sdt>
      <w:sdtPr>
        <w:id w:val="-85773376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911AD">
              <w:t xml:space="preserve">Page </w:t>
            </w:r>
            <w:r w:rsidR="003911AD">
              <w:rPr>
                <w:b/>
                <w:bCs/>
                <w:sz w:val="24"/>
                <w:szCs w:val="24"/>
              </w:rPr>
              <w:fldChar w:fldCharType="begin"/>
            </w:r>
            <w:r w:rsidR="003911AD">
              <w:rPr>
                <w:b/>
                <w:bCs/>
              </w:rPr>
              <w:instrText xml:space="preserve"> PAGE </w:instrText>
            </w:r>
            <w:r w:rsidR="003911AD">
              <w:rPr>
                <w:b/>
                <w:bCs/>
                <w:sz w:val="24"/>
                <w:szCs w:val="24"/>
              </w:rPr>
              <w:fldChar w:fldCharType="separate"/>
            </w:r>
            <w:r w:rsidR="003911AD">
              <w:rPr>
                <w:b/>
                <w:bCs/>
                <w:noProof/>
              </w:rPr>
              <w:t>2</w:t>
            </w:r>
            <w:r w:rsidR="003911AD">
              <w:rPr>
                <w:b/>
                <w:bCs/>
                <w:sz w:val="24"/>
                <w:szCs w:val="24"/>
              </w:rPr>
              <w:fldChar w:fldCharType="end"/>
            </w:r>
            <w:r w:rsidR="003911AD">
              <w:t xml:space="preserve"> of </w:t>
            </w:r>
            <w:r w:rsidR="003911AD">
              <w:rPr>
                <w:b/>
                <w:bCs/>
                <w:sz w:val="24"/>
                <w:szCs w:val="24"/>
              </w:rPr>
              <w:fldChar w:fldCharType="begin"/>
            </w:r>
            <w:r w:rsidR="003911AD">
              <w:rPr>
                <w:b/>
                <w:bCs/>
              </w:rPr>
              <w:instrText xml:space="preserve"> NUMPAGES  </w:instrText>
            </w:r>
            <w:r w:rsidR="003911AD">
              <w:rPr>
                <w:b/>
                <w:bCs/>
                <w:sz w:val="24"/>
                <w:szCs w:val="24"/>
              </w:rPr>
              <w:fldChar w:fldCharType="separate"/>
            </w:r>
            <w:r w:rsidR="003911AD">
              <w:rPr>
                <w:b/>
                <w:bCs/>
                <w:noProof/>
              </w:rPr>
              <w:t>2</w:t>
            </w:r>
            <w:r w:rsidR="003911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F289083" w14:textId="77777777" w:rsidR="003911AD" w:rsidRDefault="0039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CFD7" w14:textId="77777777" w:rsidR="00D06FA3" w:rsidRDefault="00D06FA3" w:rsidP="005C7128">
      <w:pPr>
        <w:spacing w:after="0" w:line="240" w:lineRule="auto"/>
      </w:pPr>
      <w:r>
        <w:separator/>
      </w:r>
    </w:p>
  </w:footnote>
  <w:footnote w:type="continuationSeparator" w:id="0">
    <w:p w14:paraId="27F8130B" w14:textId="77777777" w:rsidR="00D06FA3" w:rsidRDefault="00D06FA3" w:rsidP="005C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4BF"/>
    <w:multiLevelType w:val="hybridMultilevel"/>
    <w:tmpl w:val="C8B43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262E"/>
    <w:multiLevelType w:val="hybridMultilevel"/>
    <w:tmpl w:val="FBE2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0094A"/>
    <w:multiLevelType w:val="hybridMultilevel"/>
    <w:tmpl w:val="45A650E4"/>
    <w:lvl w:ilvl="0" w:tplc="387EB6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971AA"/>
    <w:multiLevelType w:val="multilevel"/>
    <w:tmpl w:val="CEB4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7"/>
    <w:rsid w:val="00014EB5"/>
    <w:rsid w:val="00050949"/>
    <w:rsid w:val="000562D4"/>
    <w:rsid w:val="00072731"/>
    <w:rsid w:val="00075331"/>
    <w:rsid w:val="000945C3"/>
    <w:rsid w:val="000E1AA3"/>
    <w:rsid w:val="000F09D5"/>
    <w:rsid w:val="00105AD5"/>
    <w:rsid w:val="0011153D"/>
    <w:rsid w:val="0011628B"/>
    <w:rsid w:val="00184F5F"/>
    <w:rsid w:val="001C2D7B"/>
    <w:rsid w:val="001E1D48"/>
    <w:rsid w:val="00222696"/>
    <w:rsid w:val="00263E20"/>
    <w:rsid w:val="00270457"/>
    <w:rsid w:val="00270921"/>
    <w:rsid w:val="00270F6A"/>
    <w:rsid w:val="002B0731"/>
    <w:rsid w:val="002D1304"/>
    <w:rsid w:val="002D6A9C"/>
    <w:rsid w:val="002D7894"/>
    <w:rsid w:val="003101AA"/>
    <w:rsid w:val="003665A1"/>
    <w:rsid w:val="003911AD"/>
    <w:rsid w:val="003C3DCB"/>
    <w:rsid w:val="003C707D"/>
    <w:rsid w:val="00407A83"/>
    <w:rsid w:val="00421521"/>
    <w:rsid w:val="004365B1"/>
    <w:rsid w:val="0045580A"/>
    <w:rsid w:val="00467773"/>
    <w:rsid w:val="004759D5"/>
    <w:rsid w:val="00481B51"/>
    <w:rsid w:val="00497FBC"/>
    <w:rsid w:val="004A4B33"/>
    <w:rsid w:val="004B34D8"/>
    <w:rsid w:val="004B3D0D"/>
    <w:rsid w:val="004D1262"/>
    <w:rsid w:val="004F121B"/>
    <w:rsid w:val="004F12F0"/>
    <w:rsid w:val="0051607A"/>
    <w:rsid w:val="00536821"/>
    <w:rsid w:val="00556964"/>
    <w:rsid w:val="00574542"/>
    <w:rsid w:val="005A42C7"/>
    <w:rsid w:val="005B0D64"/>
    <w:rsid w:val="005C7128"/>
    <w:rsid w:val="005D34DC"/>
    <w:rsid w:val="005E7196"/>
    <w:rsid w:val="00611B71"/>
    <w:rsid w:val="006155D3"/>
    <w:rsid w:val="006362C9"/>
    <w:rsid w:val="006364CF"/>
    <w:rsid w:val="00640A12"/>
    <w:rsid w:val="00645851"/>
    <w:rsid w:val="006563B0"/>
    <w:rsid w:val="00674EFF"/>
    <w:rsid w:val="00697537"/>
    <w:rsid w:val="006E369F"/>
    <w:rsid w:val="006E6B99"/>
    <w:rsid w:val="0071405C"/>
    <w:rsid w:val="00721BB5"/>
    <w:rsid w:val="007351B0"/>
    <w:rsid w:val="00750497"/>
    <w:rsid w:val="00757A63"/>
    <w:rsid w:val="00764EB7"/>
    <w:rsid w:val="007904E6"/>
    <w:rsid w:val="007C52C6"/>
    <w:rsid w:val="008073DB"/>
    <w:rsid w:val="008203FE"/>
    <w:rsid w:val="00852AAD"/>
    <w:rsid w:val="00862072"/>
    <w:rsid w:val="008649E5"/>
    <w:rsid w:val="008815C5"/>
    <w:rsid w:val="008B1608"/>
    <w:rsid w:val="0092058B"/>
    <w:rsid w:val="00987A3A"/>
    <w:rsid w:val="009A6D89"/>
    <w:rsid w:val="009A75A8"/>
    <w:rsid w:val="009C6297"/>
    <w:rsid w:val="009D121C"/>
    <w:rsid w:val="009F5CB6"/>
    <w:rsid w:val="009F7456"/>
    <w:rsid w:val="00A519D3"/>
    <w:rsid w:val="00A54F9F"/>
    <w:rsid w:val="00A73D72"/>
    <w:rsid w:val="00A87432"/>
    <w:rsid w:val="00A91D19"/>
    <w:rsid w:val="00B17D6F"/>
    <w:rsid w:val="00B40577"/>
    <w:rsid w:val="00BD04E2"/>
    <w:rsid w:val="00BD701B"/>
    <w:rsid w:val="00C13837"/>
    <w:rsid w:val="00C22532"/>
    <w:rsid w:val="00C23B1E"/>
    <w:rsid w:val="00C3163B"/>
    <w:rsid w:val="00C53FE4"/>
    <w:rsid w:val="00C84DF8"/>
    <w:rsid w:val="00C93833"/>
    <w:rsid w:val="00CE31A4"/>
    <w:rsid w:val="00CE7B6A"/>
    <w:rsid w:val="00D0309B"/>
    <w:rsid w:val="00D03CF3"/>
    <w:rsid w:val="00D06FA3"/>
    <w:rsid w:val="00D235B3"/>
    <w:rsid w:val="00D341B3"/>
    <w:rsid w:val="00D90A3D"/>
    <w:rsid w:val="00DB74A2"/>
    <w:rsid w:val="00DC3970"/>
    <w:rsid w:val="00DF0BFF"/>
    <w:rsid w:val="00E27299"/>
    <w:rsid w:val="00E44359"/>
    <w:rsid w:val="00E5558C"/>
    <w:rsid w:val="00E71191"/>
    <w:rsid w:val="00E82B03"/>
    <w:rsid w:val="00EC1F38"/>
    <w:rsid w:val="00ED52BC"/>
    <w:rsid w:val="00F17342"/>
    <w:rsid w:val="00F322C1"/>
    <w:rsid w:val="00F53222"/>
    <w:rsid w:val="00F553C6"/>
    <w:rsid w:val="00F604EE"/>
    <w:rsid w:val="00F9241B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B585E"/>
  <w15:chartTrackingRefBased/>
  <w15:docId w15:val="{003935B4-C4DB-4DE4-8CBE-EDE81764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01B"/>
    <w:pPr>
      <w:ind w:left="720"/>
      <w:contextualSpacing/>
    </w:pPr>
  </w:style>
  <w:style w:type="paragraph" w:customStyle="1" w:styleId="Default">
    <w:name w:val="Default"/>
    <w:rsid w:val="002226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9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71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28"/>
  </w:style>
  <w:style w:type="paragraph" w:styleId="Footer">
    <w:name w:val="footer"/>
    <w:basedOn w:val="Normal"/>
    <w:link w:val="FooterChar"/>
    <w:uiPriority w:val="99"/>
    <w:unhideWhenUsed/>
    <w:rsid w:val="005C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FB398CBAF914196933AA7BE812B1A" ma:contentTypeVersion="14" ma:contentTypeDescription="Create a new document." ma:contentTypeScope="" ma:versionID="3df2501653f823e70d0f40b2894ae4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20ef4845b8b1f65b22c5f88da0323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25092-F8DC-48B6-AE54-1C4A574C6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06EE-E3A4-4FE9-87DE-3DF5D4ED7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FF9C9-B5BA-4F75-B44F-45B1301F1AE1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Alexander</dc:creator>
  <cp:keywords/>
  <dc:description/>
  <cp:lastModifiedBy>David Musselwhite</cp:lastModifiedBy>
  <cp:revision>40</cp:revision>
  <dcterms:created xsi:type="dcterms:W3CDTF">2020-09-10T17:37:00Z</dcterms:created>
  <dcterms:modified xsi:type="dcterms:W3CDTF">2020-09-11T20:47:00Z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0x01010001BFB398CBAF914196933AA7BE812B1A</vt:lpwstr>
  </property>
</Properties>
</file>